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P/5820/2021 vom 4. Juni 2021</w:t>
      </w:r>
    </w:p>
    <w:p>
      <w:r>
        <w:t>GE Cour de justice, 2021-06-04, FR</w:t>
      </w:r>
    </w:p>
    <w:p>
      <w:r>
        <w:rPr>
          <w:b/>
        </w:rPr>
        <w:t xml:space="preserve">Quelle: </w:t>
      </w:r>
      <w:r>
        <w:t>https://mcp.opencaselaw.ch/entscheid/ge_gerichte_P_5820_2021</w:t>
      </w:r>
    </w:p>
    <w:p>
      <w:r>
        <w:t>FR: GE_GERICHTE P/5820/2021 du 4 juin 2021</w:t>
      </w:r>
    </w:p>
    <w:p>
      <w:r>
        <w:t>IT: GE_GERICHTE P/5820/2021 del 4 giugno 2021</w:t>
      </w:r>
    </w:p>
    <w:p>
      <w:pPr>
        <w:pStyle w:val="Heading2"/>
      </w:pPr>
      <w:r>
        <w:t>Regeste</w:t>
      </w:r>
    </w:p>
    <w:p>
      <w:r>
        <w:t>LOI FÉDÉRALE SUR LES STUPÉFIANTS ET LES SUBSTANCES PSYCHOTROPES;SOUPÇON;PROPORTIONNALITÉ | CPP.221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solidité des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force est de constater que les déclarations des prévenus s'opposent aux constatations de la police faites le 2 mars 2021. Celles du recourant ont varié s'agissant de la remise de CHF 2'000.- à son coprévenu et ses explications sur l'origine des fonds peu crédibles. Quant à ses déclarations selon lesquelles il aurait fait le trajet de Genève jusqu'à G______ [VD] et retour pour emprunter CHF 200.- à E______ pour manger, elles n'apparaissent pas davantage crédibles, le recourant ayant déclaré avoir un travail rémunéré qui lui permettait même d'envoyer de l'argent à sa mère en Albanie. Partant, il existe des charges suffisantes en l'état, ce qu'avait du reste déjà constaté le TMC dans son ordonnance de mise en détention provisoire du 14 mars 2021.</w:t>
      </w:r>
    </w:p>
    <w:p>
      <w:r>
        <w:rPr>
          <w:b/>
        </w:rPr>
        <w:t>E. 3</w:t>
      </w:r>
    </w:p>
    <w:p>
      <w:r>
        <w:t>Les risques de fuite, collusion et réitération retenus par le TMC ne sont pas contestés par le recourant, de sorte qu'il n'y a pas lieu de les examiner.</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l'instruction se poursuit notamment avec l'analyse des téléphones portables des prévenus, qui apparaît être un acte d'enquête déterminant, eu égard aux dénégations du recourant quant à son implication dans un trafic de stupéfiants. Les prévenus devront ensuite être confrontés aux données recueillies. Ces actes ne peuvent s'effectuer dans un laps de temps d'un voire deux mois. Partant, et compte tenu de la peine menace encourue si le recourant devait être reconnu coupable des préventions dont il fait l'objet, la durée de prolongation de la détention provisoire ordonnée par le TMC ne viole pas le principe de la proportionnalité à ce stade. 3. Le recours s'avère ainsi infondé et doit être rejeté.</w:t>
      </w:r>
    </w:p>
    <w:p>
      <w:r>
        <w:rPr>
          <w:b/>
        </w:rPr>
        <w:t>E. 5</w:t>
      </w:r>
    </w:p>
    <w:p>
      <w:r>
        <w:t>Il n'y a pas lieu d'indemniser à ce stade le défenseur d'office, qui ne l'a du reste pas demandé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