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P/5763/2025 vom 14. April 2025</w:t>
      </w:r>
    </w:p>
    <w:p>
      <w:r>
        <w:t>GE Cour de justice, 2025-04-14, FR</w:t>
      </w:r>
    </w:p>
    <w:p>
      <w:r>
        <w:rPr>
          <w:b/>
        </w:rPr>
        <w:t xml:space="preserve">Quelle: </w:t>
      </w:r>
      <w:r>
        <w:t>https://mcp.opencaselaw.ch/entscheid/ge_gerichte_P_5763_2025</w:t>
      </w:r>
    </w:p>
    <w:p>
      <w:r>
        <w:t>FR: GE_GERICHTE P/5763/2025 du 14 avril 2025</w:t>
      </w:r>
    </w:p>
    <w:p>
      <w:r>
        <w:t>IT: GE_GERICHTE P/5763/2025 del 14 aprile 2025</w:t>
      </w:r>
    </w:p>
    <w:p>
      <w:pPr>
        <w:pStyle w:val="Heading2"/>
      </w:pPr>
      <w:r>
        <w:t>Regeste</w:t>
      </w:r>
    </w:p>
    <w:p>
      <w:r>
        <w:t>ORDONNANCE DE NON-ENTRÉE EN MATIÈRE;ESCROQUERIE;CHOSE CONFIÉE;ABUS DE CONFIANCE;DOMMAGES À LA PROPRIÉTÉ(DROIT PÉNAL) | CPP.310; CP.146; CP.138; CP.144; CC.715; CC.714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ne revient pas sur les préventions de vol (art. 139 CP) et de soustraction d'une chose mobilière (art. 141 CP), évoquées dans sa plainte, dès lors qu'elle ne développe aucun grief en lien avec ces infractions. Ces points n'apparaissant plus litigieux, ils ne seront pas examinés plus avant dans le présent arrêt (art. 385 al. 1 let. a CPP).</w:t>
      </w:r>
    </w:p>
    <w:p>
      <w:r>
        <w:rPr>
          <w:b/>
        </w:rPr>
        <w:t>E. 4</w:t>
      </w:r>
    </w:p>
    <w:p>
      <w:r>
        <w:t>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rPr>
          <w:b/>
        </w:rPr>
        <w:t>E. 5</w:t>
      </w:r>
    </w:p>
    <w:p>
      <w:r>
        <w:t>La recourante estime qu'il existe une prévention suffisante, contre B______, d'abus de confiance, de dommages à la propriété et d'escroquerie.</w:t>
      </w:r>
    </w:p>
    <w:p>
      <w:r>
        <w:rPr>
          <w:b/>
        </w:rPr>
        <w:t>E. 5.1</w:t>
      </w:r>
    </w:p>
    <w:p>
      <w:r>
        <w:t>Selon l'art. 310 al. 1 let. a CPP, le Ministère public rend immédiatement une ordonnance de non-entrée en matière lorsqu'il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 2 ème éd., Bâle 2019, n. 10 ad art. 310). Une non-entrée en matière s'impose lorsque le litige est de nature purement civile (ATF 137 IV 285 consid. 2.3).</w:t>
      </w:r>
    </w:p>
    <w:p>
      <w:r>
        <w:rPr>
          <w:b/>
        </w:rPr>
        <w:t>E. 5.2</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133 IV 21 consid. 6.2). Le comportement délictueux consiste à utiliser la valeur patrimoniale contrairement aux instructions reçues, en s'écartant de la destination fixée (ATF 129 IV 257 consid. 2.2.1; arrêt 6B_972/2022 du 12 janvier 2024 consid. 3.1.1).</w:t>
      </w:r>
    </w:p>
    <w:p>
      <w:r>
        <w:rPr>
          <w:b/>
        </w:rPr>
        <w:t>E. 5.3</w:t>
      </w:r>
    </w:p>
    <w:p>
      <w:r>
        <w:t>L'art. 144 al. 1 CP punit quiconque, sans droit, endommage, détruit ou met hors d'usage une chose appartenant à autrui ou frappé d'un droit d'usage ou d'usufruit au bénéfice d'autrui.</w:t>
      </w:r>
    </w:p>
    <w:p>
      <w:r>
        <w:rPr>
          <w:b/>
        </w:rPr>
        <w:t>E. 5.3.1</w:t>
      </w:r>
    </w:p>
    <w:p>
      <w:r>
        <w:t>Déterminer qui est le propriétaire d'une chose se résout à la lumière du droit civil (ATF 132 IV 5 consid. 3.3; arrêt du Tribunal fédéral 6B_524/2019 du 24 octobre 2019 consid. 3.1). Le contrat conclu entre les parties est déterminant pour l'examen des rapports de propriété (ATF 118 II 150 c. 6c et les références citées).</w:t>
      </w:r>
    </w:p>
    <w:p>
      <w:r>
        <w:rPr>
          <w:b/>
        </w:rPr>
        <w:t>E. 5.3.2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rPr>
          <w:b/>
        </w:rPr>
        <w:t>E. 5.3.3</w:t>
      </w:r>
    </w:p>
    <w:p>
      <w:r>
        <w:t>En matière de vente mobilière, l'obtention de la propriété suppose, outre l'existence d’une convention valable, une opération d'acquisition, elle-même constituée d'un acte de disposition et du transfert de la possession de l'objet concerné (art. 714 al. 1 CC; arrêt du Tribunal fédéral 6B_1056/2018 du 29 janvier 2019 consid. 2.3.4). L'acte de disposition est un contrat réel, par lequel l'aliénateur et l'acheteur manifestent leur volonté de transférer ( hic et nunc ) la propriété de la chose, en exécution de la convention de vente (P.-H. STEINAUER, Les droits réels, tome I,</w:t>
      </w:r>
    </w:p>
    <w:p>
      <w:r>
        <w:rPr>
          <w:b/>
        </w:rPr>
        <w:t>E. 6</w:t>
      </w:r>
    </w:p>
    <w:p>
      <w:r>
        <w:t>Justifiée, elle sera donc confirmée.</w:t>
      </w:r>
    </w:p>
    <w:p>
      <w:r>
        <w:rPr>
          <w:b/>
        </w:rPr>
        <w:t>E. 7</w:t>
      </w:r>
    </w:p>
    <w:p>
      <w:r>
        <w:t>La recourante, qui succombe, supportera les frais envers l'État, qui seront fixés en totalité à CHF 1'800.- (art. 428 al. 1 CPP et 13 al. 1 du Règlement fixant le tarif des frais en matière pénale, RTFMP ; E 4 10.03), qui seront prélevés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