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P/5753/2014 vom 6. August 2015</w:t>
      </w:r>
    </w:p>
    <w:p>
      <w:r>
        <w:t>GE Cour de justice, 2015-08-06, FR</w:t>
      </w:r>
    </w:p>
    <w:p>
      <w:r>
        <w:rPr>
          <w:b/>
        </w:rPr>
        <w:t xml:space="preserve">Quelle: </w:t>
      </w:r>
      <w:r>
        <w:t>https://mcp.opencaselaw.ch/entscheid/ge_gerichte_P_5753_2014</w:t>
      </w:r>
    </w:p>
    <w:p>
      <w:r>
        <w:t>FR: GE_GERICHTE P/5753/2014 du 6 août 2015</w:t>
      </w:r>
    </w:p>
    <w:p>
      <w:r>
        <w:t>IT: GE_GERICHTE P/5753/2014 del 6 agosto 2015</w:t>
      </w:r>
    </w:p>
    <w:p>
      <w:pPr>
        <w:pStyle w:val="Heading2"/>
      </w:pPr>
      <w:r>
        <w:t>Regeste</w:t>
      </w:r>
    </w:p>
    <w:p>
      <w:r>
        <w:t>SÉJOUR ILLÉGAL; FIXATION DE LA PEINE; DÉLIT CONTINU; PEINE PÉCUNIAIRE | LEtr.115.1.b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consid. 1).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le prévenu en raison des infractions à la LEtr, afin d'éviter que le plafond d'une année prévu par la disposition topique ne soit dépassé.</w:t>
      </w:r>
    </w:p>
    <w:p>
      <w:r>
        <w:rPr>
          <w:b/>
        </w:rPr>
        <w:t>E. 2.1</w:t>
      </w:r>
    </w:p>
    <w:p>
      <w:r>
        <w:t>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rPr>
          <w:b/>
        </w:rPr>
        <w:t>E. 2.3</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Le séjour irrégulier n'est punissable que si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 Selon la Directive sur le retour, le prononcé d'une peine pécuniaire du chef de séjour illégal est toujours envisageable (arrêt de la CJUE du 6 décembre 2012 C-430/11 SAGOR). La Directive sur le retour n'exclut pas non plus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2.1.3 et 2.2, 6B_617/2012 et 6B_618/2012 du 11 mars 2013). 2.4.1. Dans le cas d'espèce, l'appelant reconnaît avoir séjourné en Suisse du 12 février au 23 mars 2014 sans être au bénéfice des autorisations nécessaires, démuni de papiers d'identité, de domicile fixe et de moyens de subsistance, comportement constitutif d'infraction à l'art. 115 al. 1 let. b LEtr. Il n'est pas établi par le dossier que le retour de l'appelant était rendu impossible par la situation en vigueur en D______. Il est, au contraire, clairement démontré que c'est l'appelant qui a empêché son renvoi. En effet, bien que se sachant faire l'objet d'une telle décision, l'appelant, qui a dissimulé son lieu de résidence, ne s'est jamais manifesté auprès des autorités administratives. Il n'a entrepris aucune démarche en vue de son retour dans son pays et s'y est toujours expressément refusé. Le rejet de sa demande d'asile et ses cinq précédentes condamnations pour séjour illégal ne l'ont pas conduit à quitter la Suisse, pays dans lequel il a clairement l'intention de rester. Dans ces circonstances, aucun acte supplémentaire ne pouvait être exigé des autorités administratives, de sorte que l'appelant est seul responsable de la situation créée, étant précisé que les soins médicaux reçus, ou qu'il a tenté de recevoir, n'en sont pas la cause. 2.4.2. La culpabilité de l'appelant étant établie, reste à examiner si le prononcé d'une peine est possible eu égard au plafond d'un an défini par la jurisprudence susmentionnée. L'appelant a été condamné le 29 avril 2010 à une peine pécuniaire de 120 jours-amende, équivalant à une peine privative de liberté de même durée, notamment pour séjour illégal dont on peut admettre que 30 jours le sanctionnaient. Postérieurement, l'appelant a été l'objet de quatre condamnations, totalisant 28 mois de peine privative de liberté. Eu égard aux informations résultant de l'extrait du casier judiciaire suisse, la CPAR évalue le ratio de peine afférent au séjour illégal à 330 jours, soit : 120 jours sur les 150 prononcés le 27 mai 2010, 120 jours sur 20 mois ordonnés le 22 mai 2013, 60 jours et 30 jours fixés les 19 février et 5 avril 2015. L'appelant a donc été condamné à 360 jours pour séjour illégal, de sorte que le plafond d'un an fixé par le Tribunal fédéral est quasiment atteint et que seule une peine de cinq jours peut être prononcée.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3.2</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3.3.1.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104-105 ; arrêt du Tribunal fédéral 6B_541/2007 du 13 mai 2008 consid. 5.1). En effet,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104-105 ; arrêt du Tribunal fédéral 6B_541/2007 du 13 mai 2008 consid. 5.1). Selon la jurisprudence, le montant du jour-amende ne saurait toutefois être inférieur à CHF 10.- (ATF 135 IV 180 consid. 1.4.2). 3.3.2. Conformément à l'art. 34 CP, la peine pécuniaire est fixée en jours-amende dont le tribunal fixe le nombre en fonction de la culpabilité de l'auteur (al. 1). Il y a lieu d'appliquer la règle générale de l'art. 47 CP. La quotité du jour-amende doit être fixée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L'appelant n'a pas remis en cause la nature de la peine prononcée en tant que telle, mais allègue que sa conversion future en peine privative de liberté serait contraire à la Directive et à la jurisprudence y relative. Eu égard aux principes jurisprudentiels susrappelés, la seule éventualité d'une incapacité future de s'acquitter d'une peine pécuniaire ne saurait empêcher le prononcé d'une telle peine. Cette peine n'est pas de nature à entraver un retour dans le pays d'origine en application de la Directive, étant précisé qu'un travail d'intérêt général n'entre pas en considération (arrêt du Tribunal fédéral 6B_525/2014 du 9 octobre 2014 consid. 2) et n'est d'ailleurs pas plaidé. Bien que clémente eu égard aux motifs retenus par le premier juge, dont la CPAR fait siens – en particulier une faute de gravité moyenne, la récidive et une situation personnelle certes difficile mais qui ne justifie pas le comportement incriminé –, la quotité de la peine ne peut dépasser cinq jours. Vu la situation très précaire de l'appelant, il se justifie de réduire le montant du jour-amende à CHF 10.-. Comme l'a relevé avec raison le premier juge, la récidive, le comportement et les déclarations de l'appelant selon lesquels il refuse de quitter la Suisse, font apparaître le pronostic d'avenir comme concrètement défavorable, de sorte que le prononcé d'une peine ferme est justifié, ce qui n'est d'ailleurs pas contesté. Au vu de ce qui précède, l'appel sera partiellement admis et le jugement réformé en ce qui concerne la quotité de la peine et le montant jours-amende.</w:t>
      </w:r>
    </w:p>
    <w:p>
      <w:r>
        <w:rPr>
          <w:b/>
        </w:rPr>
        <w:t>E. 4</w:t>
      </w:r>
    </w:p>
    <w:p>
      <w:r>
        <w:t>Vu l'issue de l'appel, l'appelant sera débouté de ses conclusions en indemnisation, étant rappelé qu’il ne subit aucun dépense bénéficiant d’un défenseur d’office (art. 429 CPP).</w:t>
      </w:r>
    </w:p>
    <w:p>
      <w:r>
        <w:rPr>
          <w:b/>
        </w:rPr>
        <w:t>E. 5</w:t>
      </w:r>
    </w:p>
    <w:p>
      <w:r>
        <w:t>Dans la mesure où le MP, puis le premier juge auraient dû limiter la nouvelle sanction à infliger, il se justifie de faire supporter à l’appelant les frais de la procédure de première instance dans une moindre mesure, soit pour un tiers, et de l'exempter des frais de la procédure d'appel.</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sa saisine, le 6 mars 2015. 6.2.1.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6.2.2.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6.3</w:t>
      </w:r>
    </w:p>
    <w:p>
      <w:r>
        <w:t>N'est pas considérée comme nécessaire dans l'état de frais présenté par M e B______ l'activité suivante effectuée par elle-même : - 20 minutes affectées à la rédaction de la déclaration d'appel, activité incluse dans le forfait pour l'activité diverse, s'agissant d'une simple lettre ; - une heure dédiée à la rédaction du mémoire d'appel, une heure suffisant au regard de son contenu ; - une heure consacrée à la consultation du dossier, dans la mesure où l'avocate, nommée pendant la procédure de première instance, le connaissait parfaitement. Par conséquent, l'état de frais de M e B______ sera admis, après les déductions qui précèdent, à concurrence de deux heures d'activité au taux horaire de CHF 200.-, soit de CHF 400.-. L'indemnisation sera dès lors accordée à hauteur de CHF 518.40 (indemnité forfaitaire de 20% [CHF 80.-] et TVA à 8% [CHF 38.40]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