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P/5727/2016 vom 2. September 2016</w:t>
      </w:r>
    </w:p>
    <w:p>
      <w:r>
        <w:t>GE Cour de justice, 2016-09-02, FR</w:t>
      </w:r>
    </w:p>
    <w:p>
      <w:r>
        <w:rPr>
          <w:b/>
        </w:rPr>
        <w:t xml:space="preserve">Quelle: </w:t>
      </w:r>
      <w:r>
        <w:t>https://mcp.opencaselaw.ch/entscheid/ge_gerichte_P_5727_2016</w:t>
      </w:r>
    </w:p>
    <w:p>
      <w:r>
        <w:t>FR: GE_GERICHTE P/5727/2016 du 2 septembre 2016</w:t>
      </w:r>
    </w:p>
    <w:p>
      <w:r>
        <w:t>IT: GE_GERICHTE P/5727/2016 del 2 settembre 2016</w:t>
      </w:r>
    </w:p>
    <w:p>
      <w:pPr>
        <w:pStyle w:val="Heading2"/>
      </w:pPr>
      <w:r>
        <w:t>Regeste</w:t>
      </w:r>
    </w:p>
    <w:p>
      <w:r>
        <w:t>RÉVISION(DÉCISION) ; MOTIF DE RÉVISION | CPP.410.1.a; CPP.412.3; CPP.413.2</w:t>
      </w:r>
    </w:p>
    <w:p>
      <w:pPr>
        <w:pStyle w:val="Heading2"/>
      </w:pPr>
      <w:r>
        <w:t>Erwägungen</w:t>
      </w:r>
    </w:p>
    <w:p>
      <w:r>
        <w:rPr>
          <w:b/>
        </w:rPr>
        <w:t>E. 1</w:t>
      </w:r>
    </w:p>
    <w:p>
      <w:r>
        <w:t>1.1.1. La CPAR, en sa qualité de juridiction d’appel, est l’autorité compétente pour traiter la demande de révision d’une ordonnance pénale entrée en force (art. 21 al. 1 let. b et 410 ss CPP cum art. 130 al. 1 let. a de la loi sur l’organisation judiciaire du 26 septembre 2010 [LOJ ; E 2 05]).![endif]&gt;![if&gt; Les demandes de révision doivent être motivées (art. 411 al. 1 CPP). Elles ne sont soumises à aucun délai lorsqu’elles sont fondées sur l’art. 410 al. 1 let. a CPP (art. 411 al. 2 CPP a contrario et art. 410 al. 3 CPP). 1.1.2. Bien que le Ministère public ne soit pas expressément mentionné comme ayant qualité pour agir en révision, cette qualité lui est néanmoins reconnue, dès lors qu’il est cité dans les dispositions générales traitant des voies de recours, à savoir l’art. 381 CPP.</w:t>
      </w:r>
    </w:p>
    <w:p>
      <w:r>
        <w:rPr>
          <w:b/>
        </w:rPr>
        <w:t>E. 1.2</w:t>
      </w:r>
    </w:p>
    <w:p>
      <w:r>
        <w:t>En l’espèce, la demande de révision du Ministère public, fondée sur l’art. 410 al. 1 let. a CPP, est recevable, dans la mesure où elle respecte la forme prescrite et a été déposée devant l’autorité compétente.</w:t>
      </w:r>
    </w:p>
    <w:p>
      <w:r>
        <w:rPr>
          <w:b/>
        </w:rPr>
        <w:t>E. 2</w:t>
      </w:r>
    </w:p>
    <w:p>
      <w:r>
        <w:t>2.1.1. A teneur de l’art. 410 al. 1 let. a CPP, toute personne lésée par une ordonnance pénale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acquittée.![endif]&gt;![if&gt; Cette disposition reprend la double exigence posée par l’art. 385 CP, selon laquelle les faits ou moyens de preuves invoqués doivent être nouveaux et sérieux (Message relatif à l’unification du droit de la procédure pénale du 21 décembre 2005, FF 2006 1303 ad art. 417 (actuel art. 410 CPP) ; A. DONATSCH / T. HANSJAKOB / V. LIEBER (éd.), Kommentar zur Schweizerischen Strafprozessordnung (StPO) , 2010, n. 54 et 61 ad art. 410 ; M. NIGGLI / M. HEER / H. WIPRÄCHTIGER, Schweizerische Strafprozessordnung / Schweizerische Jugendstrafprozessordnung, Basler Kommentar StPO/JStPO , 2011, n. 46 et 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3.2 p. 75). Cette jurisprudence, sur laquelle il n’y a pas lieu de revenir, s’applique aussi à une procédure de révision régie par le CPP (arrêt du Tribunal fédéral 6B_310/2012 du 20 juin 2011 consid. 1.2 et 1.3 ; A. DONATSCH / T. HANSJAKOB / V. LIEBER (éd.), op. cit. , n. 59 ad art. 410 ; M. NIGGLI / M. HEER / H. WIPRÄCHTIGER, op. cit. , n. 42 in fine ad art. 410). 2.1.2.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rPr>
          <w:b/>
        </w:rPr>
        <w:t>E. 2.2</w:t>
      </w:r>
    </w:p>
    <w:p>
      <w:r>
        <w:t>En l’espèce, il ressort du dossier que ce n’est que suite à l'audition du cité le 11 décembre 2015 que le Ministère public a découvert que c'était celui-ci et non sa mère qui pilotait le motocycle lors de l'excès de vitesse du 5 décembre 2013, ce que les intéressés ont confirmé par la suite. Le comportement de la citée se révèle critiquable dans la mesure où elle n'a pas hésité à tromper les autorités en s'auto-incriminant, même si elle a agi ainsi pour protéger son fils qu'elle estimait trop fragile psychologiquement à l'époque. Elle n'a pas modifié son attitude lors de la réception de l'ordonnance pénale, ayant, au contraire, laissé échoir le délai d’opposition sans réagir. Même s’il n’apparaît pas satisfaisant de pallier ainsi l'inertie coupable du justiciable, il convient néanmoins d’entrer en matière sur le fond de la requête du Ministère public afin de ne pas sciemment laisser perdurer dans les registres officiels la mention d’une condamnation qu’on sait désormais erronée. Il en résulte que les circonstances susmentionnées constituent des faits nouveaux, ignorés du Ministère public lors du prononcé de l’ordonnance pénale litigieuse, qui sont de nature à conduire à l’admission de la demande de révision.</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(al. 3).![endif]&gt;![if&gt;</w:t>
      </w:r>
    </w:p>
    <w:p>
      <w:r>
        <w:rPr>
          <w:b/>
        </w:rPr>
        <w:t>E. 3.2</w:t>
      </w:r>
    </w:p>
    <w:p>
      <w:r>
        <w:t>Vu l’admission de la demande, l’ordonnance pénale du Ministère public du 30 janvier 2015 sera annulée et son inscription radiée du casier judiciaire de A______. Au surplus, et conformément aux conclusions du Ministère public, la cause lui sera retournée aux fins de poursuivre, s'il y lieu, les cités des chefs d’infraction à l'art. 304 CP, respectivement à l'art. 90 al. 2 LCR.</w:t>
      </w:r>
    </w:p>
    <w:p>
      <w:r>
        <w:rPr>
          <w:b/>
        </w:rPr>
        <w:t>E. 4</w:t>
      </w:r>
    </w:p>
    <w:p>
      <w:r>
        <w:t>Vu l’issue de la procédure, les frais de la procédure de révision seront laissés à la charge de l’Etat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