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P/5721/2012 vom 17. Juni 2013</w:t>
      </w:r>
    </w:p>
    <w:p>
      <w:r>
        <w:t>GE Cour de justice, 2013-06-17, FR</w:t>
      </w:r>
    </w:p>
    <w:p>
      <w:r>
        <w:rPr>
          <w:b/>
        </w:rPr>
        <w:t xml:space="preserve">Quelle: </w:t>
      </w:r>
      <w:r>
        <w:t>https://mcp.opencaselaw.ch/entscheid/ge_gerichte_P_5721_2012</w:t>
      </w:r>
    </w:p>
    <w:p>
      <w:r>
        <w:t>FR: GE_GERICHTE P/5721/2012 du 17 juin 2013</w:t>
      </w:r>
    </w:p>
    <w:p>
      <w:r>
        <w:t>IT: GE_GERICHTE P/5721/2012 del 17 giugno 2013</w:t>
      </w:r>
    </w:p>
    <w:p>
      <w:pPr>
        <w:pStyle w:val="Heading2"/>
      </w:pPr>
      <w:r>
        <w:t>Regeste</w:t>
      </w:r>
    </w:p>
    <w:p>
      <w:r>
        <w:t>IN DUBIO PRO REO; RÉVOCATION DU SURSIS | CPP.10; CP.46.2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L’appelant a certes été relativement constant, mais ses déclarations n’en sont pas moins invraisemblables. Il n’est pas crédible que le frère de l’appelant, dont il n’est ni allégué ni établi qu’il disposerait de revenus importants et qui a des charges de famille, serait en mesure de l’entretenir dans l’oisiveté. L’existence d’amis également disposés à l’aider n’est pas plus établie. A cela s’ajoute que l’appelant a déjà été condamné pour délit, et non simple contravention, à la LStup. Dans ces circonstances, la seule explication plausible au fait que l’appelant ait pu résider à Genève pendant au moins six mois et ait été trouvé en possession de 25 g de haschisch et d’un montant de plus de CHF 800.- alors qu’il n’a aucune source de revenus licite est qu’il se livre à la vente de ce stupéfiant et que l’argent trouvé sur lui était le fruit de son commerce. Le verdict de culpabilité doit donc être confirmé et l’appel rejeté.</w:t>
      </w:r>
    </w:p>
    <w:p>
      <w:r>
        <w:rPr>
          <w:b/>
        </w:rPr>
        <w:t>E. 3</w:t>
      </w:r>
    </w:p>
    <w:p>
      <w:r>
        <w:t>3.1 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L’appelant persiste, au mépris d’une précédente condamnation, à séjourner illégalement en Suisse et à y pratiquer le commerce de haschisch. Son mobile est nécessairement celui de l’appât du gain. L’intention délictuelle est forte, vu la durée du séjour illégal et la récidive, immédiate et durable s’agissant du séjour illégal, à bref délai pour la vente de haschisch. Il y a concours d’infractions. La faute doit ainsi être qualifiée de moyenne. Il n’y a eu aucune collaboration de la part de l’appelant et rien dans son attitude ou ses déclarations ne permet de penser qu’il y aurait chez lui ne serait-ce qu’un début de prise de conscience. Sa situation à Genève était certainement précaire, mais cela est la conséquence de son choix de venir y vivre au mépris de la législation sur les étrangers, choix d’autant moins compréhensible qu’à le croire, il disposait d’un travail dans son pays d’origine. Dans ces circonstances, la peine privative de liberté de six mois infligée par le premier juge est adéquate et doit être confirmée.</w:t>
      </w:r>
    </w:p>
    <w:p>
      <w:r>
        <w:rPr>
          <w:b/>
        </w:rPr>
        <w:t>E. 4</w:t>
      </w:r>
    </w:p>
    <w:p>
      <w:r>
        <w:t>4.1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4.2</w:t>
      </w:r>
    </w:p>
    <w:p>
      <w:r>
        <w:t>L’appelant n’a manifestement pas compris le sens du sursis qui lui a été octroyé le 23 octobre 2012, puisqu’il a continué de séjourner illégalement en Suisse et s’est derechef adonné à la vente de haschisch à peine six mois après ce prononcé, soit bien avant l’échéance du délai d’épreuve de trois ans. Vu l’absence totale de collaboration et de prise de conscience, il n’est guère crédible qu’il envisagerait cette fois de quitter la Suisse pour rejoindre son frère en Belgique. Il faut donc prévoir que l’appelant réitérera ses agissements dès sa libération. Dans ces circonstances, la révocation du sursis s’imposait et a été prononcée à juste titre par le premier juge, dont le jugement sera confirmé sur ce point également.</w:t>
      </w:r>
    </w:p>
    <w:p>
      <w:r>
        <w:rPr>
          <w:b/>
        </w:rPr>
        <w:t>E. 5</w:t>
      </w:r>
    </w:p>
    <w:p>
      <w:r>
        <w:t>L'appelant, qui succombe, supportera les frais de la procédure envers l'État comprenant un émolument de CHF 1'000.- (art. 428 CPP et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