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P/5652/2018 vom 16. Dezember 2021</w:t>
      </w:r>
    </w:p>
    <w:p>
      <w:r>
        <w:t>GE Cour de justice, 2021-12-16, FR</w:t>
      </w:r>
    </w:p>
    <w:p>
      <w:r>
        <w:rPr>
          <w:b/>
        </w:rPr>
        <w:t xml:space="preserve">Quelle: </w:t>
      </w:r>
      <w:r>
        <w:t>https://mcp.opencaselaw.ch/entscheid/ge_gerichte_P_5652_2018</w:t>
      </w:r>
    </w:p>
    <w:p>
      <w:r>
        <w:t>FR: GE_GERICHTE P/5652/2018 du 16 décembre 2021</w:t>
      </w:r>
    </w:p>
    <w:p>
      <w:r>
        <w:t>IT: GE_GERICHTE P/5652/2018 del 16 dicembre 2021</w:t>
      </w:r>
    </w:p>
    <w:p>
      <w:pPr>
        <w:pStyle w:val="Heading2"/>
      </w:pPr>
      <w:r>
        <w:t>Erwägungen</w:t>
      </w:r>
    </w:p>
    <w:p>
      <w:r>
        <w:rPr>
          <w:b/>
        </w:rPr>
        <w:t>E. 1</w:t>
      </w:r>
    </w:p>
    <w:p>
      <w:r>
        <w:t>1.1.1. On entend par proches de la victime son conjoint, ses enfants, ses père et mère et les autres personnes ayant avec elle des liens analogues (art. 116 al. 2 CPP). Le conjoint, les enfants, le père et la mère ont ainsi la qualité de proches de par la loi indépendamment de liens affectifs qu'ils entretiennent avec la victime. Quant " aux autres personnes ", elles n'ont pas nécessairement à être apparentées à la victime et ne font pas obligatoirement vie commune avec celle-ci. Sont alors déterminantes, les circonstances concrètes, l'intensité du lien entretenu avec la victime et/ou la fréquence des rencontres. Les personnes qui allèguent être des proches au sens de l'art. 116 al. 2 CCP devront rendre vraisemblables ces éléments, afin de démontrer qu'ils ont avec la victime des liens analogues aux premières personnes mentionnées dans cette disposition (arrêt du Tribunal fédéral 1B_137/2015 du 1 er septembre 2015 consid. 2.1 et les références citées). 1.1.2. Cette jurisprudence est bien établie et a été confirmée à plusieurs reprises, dont encore très récemment (arrêts du Tribunal fédéral 6B_484/485 /2020 du 21 janvier 2021 consid. 12.1 ; 6B_1165/2015 du 20 avril 2016 consid. 1.2.2 ; 6B_303/2015 du 8 octobre 2015 consid. 1.2.1 ; 1B_137/2015 du 1 er septembre 2015 consid. 2.1). Ainsi, l'admission en qualité de partie plaignante des frères et sœurs de la victime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sœur, la qualité de partie n'est envisageable qu'en présence de contacts très étroits, seuls susceptibles d'occasionner des souffrances morales exceptionnelles et d'ouvrir le droit à une indemnité pour tort moral (arrêts du Tribunal fédéral 6B_484/485 /2020 du 21 janvier 2021 consid. 12.1 ; 6B_1165/2015 du 20 avril 2016 consid. 1.2.2 ; 6B_303/2015 du 8 octobre 2015 consid. 1.2.1 ; 1B_137/2015 du 1 er septembre 2015 consid. 2.1). Déterminer si une personne est un proche de la victime au sens de l'art. 116 al. 2 in fine CPP s'examine au regard des circonstances d'espèce. Il s'agit d'une question d'appréciation délicate puisque la problématique peut varier d'un cas à l'autre (arrêt du Tribunal fédéral 1B_137/2015 du 1 er septembre 2015 consid. 2.1). Les circonstances tragiques entourant le décès d'un membre de la fratrie sont propres à entraîner des souffrances importantes, notamment en raison des sentiments de tristesse, d'incompréhension et/ou de possible culpabilité. Dans une telle situation le travail de deuil n'est assurément pas une tâche aisée. Cela ne permet néanmoins pas d'apprécier la nature ou l'intensité des liens qui unissaient préalablement la fratrie (arrêt du Tribunal fédéral 6B_303/2015 du 8 octobre 2015 consid. 1.2.2). Ainsi, le chagrin éprouvé au décès de la victime ainsi que l'implication au sein de la famille suite au décès attestent seulement de l'existence d'une relation fraternelle harmonieuse. Ils ne permettent en revanche pas d'apprécier la nature ou l'intensité des liens qui existaient antérieurement (arrêt du Tribunal fédéral 1B_137/2015 du 1 er septembre 2015 consid. 2.2) Les liens unissant la fratrie doivent aller au-delà de la bonne entente familiale existant généralement dans une fratrie ayant quitté le giron parental (arrêts du Tribunal fédéral 6B_484/485 /2020 du 21 janvier 20201 consid. 2.2 ; 6B_303/2015 du 8 octobre 2015 consid. 1.2.2). 1.1.3. On ne saurait reprocher à l'intimée de n'avoir pas contesté plus rapidement la qualité de partie plaignante des demi-sœurs, celles-ci ayant été entendues pour la première fois sur leur relation avec leur frère le 14 mars 2019. La jurisprudence du Tribunal fédéral rappelée ci-dessus est très restrictive et n'admet la qualité de partie plaignante des frères et sœurs de la victime qu'en cas de liens exceptionnellement étroits, à charge d'être démontrés par les personnes qui allèguent être des proches au sens de l'art. 116 al. 2 CPP. Les pièces apportées à la procédure par A______ et ses deux filles sur le lien unissant la fratrie avant le tragique accident du 22 mars 2018 témoignent d'une bonne entente familiale, qui a perduré après le départ de la maison des deux aînées. Cela étant, les éléments du dossier et les déclarations des sœurs ne permettent pas de retenir une intensité telle celle envisagée par la jurisprudence. Ainsi, les conversations whatsapp entre le frère et ses demi-sœurs montrent une relation fraternelle harmonieuse au sein de laquelle des nouvelles sont prises environ une fois par mois et des messages de soutien sont envoyés dans les moments difficiles. Le dossier contient peu de photos, dont les plus récentes datent de cinq ans avant le décès de la victime. Les vœux d'anniversaire étaient échangés par messages. En 2018, cela faisait déjà neuf ans que B______ avait quitté le domicile familial, et six ans qu'elle n'y revenait plus le weekend. C______ avait quitté la maison depuis quatre ans et y revenait encore certains weekends. La vie commune avait donc cessé plusieurs années auparavant et correspondait à la période de l'enfance. De même, les déclarations de chacune des demi-sœurs montrent une relation de qualité, mais usuelle dans une famille unie. B______ a ainsi indiqué qu'elle téléphonait régulièrement à son frère et qu'ils se voyaient pour des activités en famille. C______ a déclaré qu'ils s'étaient soutenus lors de la séparation de leur mère avec le père de G______ et que cela les avait rapprochés. Ils mangeaient ensemble parfois le soir. Ils avaient fait des cours de poterie et de cirque, sans que l'on n'ait plus de précision sur les dates. À nouveau, les circonstances qui précèdent ne dépassent pas une relation fraternelle harmonieuse, laquelle n'est pas suffisante selon la jurisprudence du Tribunal fédéral pour admettre la qualité de partie plaignante des frères et sœurs. Il est indéniable que la souffrance de la famille du défunt est importante et que le travail de deuil n'est pas un chemin facile. Cependant, selon les conditions posées par la jurisprudence, le chagrin ressenti après le décès n'entre pas en ligne de compte pour considérer le lien unissant un frère et une sœur ante mortem . Partant, B______ et C______ n'ont pas la qualité de partie plaignante au sens de l'art. 116 al. 2 CPP, de sorte que leur appel est irrecevable et que l'appel joint de la prévenue est sans objet.</w:t>
      </w:r>
    </w:p>
    <w:p>
      <w:r>
        <w:rPr>
          <w:b/>
        </w:rPr>
        <w:t>E. 1.2</w:t>
      </w:r>
    </w:p>
    <w:p>
      <w:r>
        <w:t>Les appels de A______ et du MP, ainsi que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117 CP réprime le comportement de celui qui, par sa négligence, aura causé la mort d'une personne. Il suppose la réunion de trois conditions : le décès d'une personne, une négligence et un lien de causalité entre la négligence et la mort (ATF 122 IV 145 consid. 3 ; arrêt du Tribunsal fédéral 6B_1371/2017 du 22 mai 2018 consid. 1.1).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(ATF 122 IV 133 consid. 2a).</w:t>
      </w:r>
    </w:p>
    <w:p>
      <w:r>
        <w:rPr>
          <w:b/>
        </w:rPr>
        <w:t>E. 2.3</w:t>
      </w:r>
    </w:p>
    <w:p>
      <w:r>
        <w:t>Selon l'art. 26 al. 1 LCR, chacun doit se comporter, dans la circulation, de manière à ne pas gêner ni mettre en danger ceux qui utilisent la route conformément aux règles établies. Cette disposition énonce un devoir général de prudence (ATF 118 IV 277 consid. 4a).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 122 IV 225 consid. 2b ; 103 IV 101 consid. 2b). Il faut toutefois prendre garde à ne pas exiger de chaque usager qu'il fasse preuve, à chaque instant, d'une attention et d'une précaution extrêmes (ATF 127 IV 34 consid. 3bb). 2.4.1. Le Tribunal fédéral a déduit de cette disposition le principe général de la confiance (ATF 118 IV 277 consid. 4a).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143 IV 500 consid. 1.2.4 ; 125 IV 83 consid. 2b ; 118 IV 277 consid. 4a ; arrêt du Tribunal fédéral 6B_959/2016 du 6 juillet 2017 consid. 2.2).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125 IV 83 consid. 2b ; 120 IV 252 consid. 2d/aa). Si le trafic permet au conducteur débiteur de la priorité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et les références citées ; ATF 118 IV 277 consid. 4). Concernant en particulier les dépassements de vitesse, le Tribunal fédéral a relevé que si les usagers de la route devaient compter avec des dépassements considérables de vitesse, dès lors que, selon l'expérience générale ou d'après des données statistiques, ils sont fréquents, il ne serait plus possible de s'engager dans des intersections dont la visibilité est mauvaise, à tout le moins lorsque le trafic est intense. Cela aurait également pour effet d'encourager les excès de vitesse. Aussi, le conducteur débiteur de la priorité doit certes compter avec le fait qu'un véhicule pourrait lui cacher l'arrivée de voitures ou motocycles circulant à une vitesse trop élevée, mais il n'a pas à prendre en considération un véhicule survenant considérablement plus vite (dans cet arrêt, motard prioritaire circulant à une vitesse comprise entre 125 et 145 km/h sur une route limitée à 80 km/h, masqué à la vue du débiteur de la priorité par un autre véhicule). Les conditions locales sont déterminantes : est-ce que, dans le cas particulier, le conducteur débiteur de la priorité avait le temps nécessaire pour s'engager sur la route principale compte tenu de la visibilité dont il disposait effectivement ? Le Tribunal fédéral a considéré qu'en général, circuler à une vitesse supérieure à 90 km/h sur un tronçon limité à 80 km/h lorsque les conditions de route et de trafic sont favorables est un comportement imprévisible dont le débiteur de la priorité ne pouvait tenir compte (ATF 118 IV 277 consid. 5.b). 2.4.2. Selon l'art. 36 al. 2 LCR,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(ATF 143 IV 500 consid. 1.2.1). À teneur de l'art. 14 de l'ordonnance sur les règles de la circulation routière (OCR),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 pas libérer la route prioritaire avant l'arrivée du prioritaire et ce, avec une marge de sécurité suffisante et si la situation n'est pas claire.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(ATF 143 IV 500 consid. 1.2.1). Le droit de priorité confère à son bénéficiaire le droit de circuler sans être gêné dans sa progression. Il ne l'exonère toutefois pas de ses devoir généraux de prudence ni du respect des autres règles de circulation (ATF 92 IV 138 consid. 1 ; arrêts du Tribunal fédéral 6B_69/2017 du 28 novembre 2017 consid. 2.2.2 et les références ; 6B_335/2016 du 27 août 2015 consid. 1.4.2). 2.4.3. L'art. 27 al. 1 LCR impose aux usagers de la route de se conformer aux signes et aux marques. Ceux-ci ne sont obligatoires que s'ils sont clairs et que leur portée est aisément reconnaissable (ATF 127 IV 229 consid. 2c.aa ; 106 IV 138 consid. 3). Il en va de la sorte des indications de la vitesse maximale autorisée qui créent une confiance des usagers qui doit être protégée dans de multiples circonstances : bifurcation, dépassement, etc. (ATF 128 IV 184 consid. 4.3 ; arrêts du Tribunal fédéral 6B_464/2015 du 8 février 2016 consid. 2.2 et 6B_112/2011 du 8 juin 2011 consid. 3.3). Aux termes de l'art. 36 al. 1 OSR, le signal « STOP » (3.01) oblige le conducteur à s’arrêter et à accorder la priorité aux véhicules circulant sur la route dont il s’approche. La ligne d'arrêt (blanche, continue et perpendiculaire à la chaussée ; 6.10) indique l'endroit où les véhicules doivent s'arrêter près d'un signal « STOP » (3.01 ; art. 75 al. 1 OSR). 2.4.4. Aux termes de l'art. 31 al. 1 LCR, le conducteur devra rester constamment maître de son véhicule de façon à pouvoir se conformer aux devoirs de prudence. Cela signifie qu'il doit être à tout moment en mesure de réagir utilement aux circonstances. 2.5.1. En l'espèce, un doute demeure s'agissant de savoir si le motard était visible depuis le "STOP" ou s'il était masqué par le véhicule de H______. En effet, le témoignage de H______ – même s'il apporte des éléments sur la manière dont la victime a dépassé son véhicule – ne permet pas de reconstruire précisément la chronologie des événements et en particulier de déterminer précisément où se trouvait la moto au moment où la prévenue a décidé de s'engager sur la chaussée. En effet, le témoin H______ a varié dans ses déclarations quant au moment de la seconde accélération : avant ou après l'engagement de l'automobiliste dans la surface de l'intersection. Cela étant, lors de la seconde accélération, la moto se trouvait toujours sur le bord extrême gauche de la voie de circulation, voire encore à la hauteur des phares du véhicule du témoin. Il apparaît donc vraisemblable que, pour un conducteur arrêté à l'intersection, il ait pu être difficile ou impossible de distinguer un motard en fin de dépassement, circulant très près de la ligne de direction ou toujours aux côtés du véhicule qu'il dépassait. On ne peut non plus exclure que la moto ait été masquée par ledit véhicule. Vu le doute sérieux subsistant quant à la visibilité objective du motard depuis l'intersection, le principe in dubio pro reo impose de retenir que le motard était masqué à la vue de l'intimée par le véhicule du témoin H______. 2.5.2. Lors des auditions menées au cours de la procédure, aucune question n'a porté précisément sur le sens du mouvement de la tête opéré par la prévenue : "gauche-droite", "droite-gauche", ni sur le fait de déterminer si, en démarrant, elle a regardé droit devant elle (peu probable) ou bien, plus vraisemblablement, s'est concentrée sur sa courbe. Partant, ce point qui ne résulte pas de l'acte d'accusation n'a pas été établi par la procédure et ne saurait être reproché à l'intimée au stade des plaidoiries d'appel.</w:t>
      </w:r>
    </w:p>
    <w:p>
      <w:r>
        <w:rPr>
          <w:b/>
        </w:rPr>
        <w:t>E. 2.6</w:t>
      </w:r>
    </w:p>
    <w:p>
      <w:r>
        <w:t>L'intimée circulait sur une route secondaire munie d'un "STOP" et débouchant sur une route principale. Elle était débitrice de la priorité sur toute la largeur de l'axe prioritaire. La règle de priorité était claire et est du reste incontestée. Il s'agit dès lors de déterminer si la prévenue peut se prévaloir du principe de la confiance. En d'autres termes, si, compte tenu de la visibilité dont elle disposait, elle pouvait s'engager dans l'intersection sans entraver la progression du véhicule du témoin H______ ou d'un motocycliste caché par dit véhicule, s'approchant à une vitesse raisonnable ou de peu supérieure à la limite admissible. L'intimée a indiqué son intention de s'engager à gauche sur la route de Jussy au moyen de son clignotant et s'est arrêtée sur la présélection de gauche au "STOP". Elle disposait d'une visibilité directe sur sa gauche, son champ de vision n'étant pas obstrué ou gêné. Comme jugé ci-dessus ( cf. consid. 2.5.1 supra ), le motard était masqué à la vue de l'intimée par le véhicule du témoin H______. Peu avant la collision, le motard a effectué deux accélérations importantes afin de dépasser le véhicule du témoin H______. Il circulait à une vitesse d'environ 90 km/h au point de réaction, soit une vitesse considérablement plus rapide que la vitesse autorisée. Pendant et après la manœuvre de dépassement, il roulait sur le bord gauche de la voie de circulation en direction de Puplinge. La conduite du jeune homme avait inquiété ce témoin depuis la sortie du giratoire de Thônex. La prévenue a bien vu le véhicule du témoin H______ arriver à sa gauche et relevé le peu de circulation de ce jour-là (corroboré par le témoin H______), ce qui tend à démontrer qu'elle était attentive à la circulation. Quand elle a vu le véhicule du témoin, elle a estimé avoir le temps de s'engager. D'après le rapport d'expertise technique, elle a démarré normalement (selon vitesse au point de réaction). Elle n'a dès lors pas considéré être dans l'urgence de franchir l'intersection, mais pensait avoir le temps de le faire. Ce faisant, elle a fait une appréciation directe et correcte, en fonction du véhicule qu'elle avait vu, de la distance et de la vitesse de ce véhicule. Cette appréciation aurait été également correcte, dans l'hypothèse où le véhicule du témoin H______ aurait masqué un autre véhicule en cours de dépassement, approchant à une vitesse raisonnable ou de peu supérieure à la limite admissible. En effet, les experts ont indiqué que si le motard avait respecté la limitation de vitesse, il n'aurait pas freiné (tout au plus, il aurait relâché les gaz) et, s'il avait freiné, il se serait arrêté à 11.4 m du véhicule de l'intimée. Ils ont précisé que l'évitement spatial et temporel était ainsi " clairement donné ". A fortiori , si la victime avait légèrement dépassé la vitesse autorisée, elle n'aurait pas non plus été entravée par la manœuvre de l'intimée. De plus, lorsque le choc s'est produit, la voiture était engagée sur l'axe prioritaire dans sa totalité. La moto qui glissait sur le sol et son conducteur, projeté après avoir perdu la maîtrise, sont entrés en collision avec son flanc gauche. Les dommages sur la voiture se concentrent essentiellement entre la portière arrière et le pare-chocs arrière. En d'autres termes, le trafic visible et prévisible ce jour-là permettait à l'intimée de s'engager sans gêner un véhicule prioritaire. Toutefois, à l'issue d'une manœuvre de dépassement effectuée à très peu d'écart de la voiture dépassée, en accélérant fortement une seconde fois, la victime a surgi de façon inopinée par le côté gauche du véhicule du témoin H______, précédemment masqué par ledit véhicule, à une vitesse de 90 km/h, soit 30 km/h au-dessus de la vitesse autorisée, à l'approche d'une intersection, laquelle était directement suivie d'un passage pour piétons. Ce comportement était imprévisible par l'intimée. En circulant à une telle vitesse, aussi proche du véhicule du témoin H______, sans égard pour les autres usagers de la route, la victime a violé les règles de la circulation et créé une situation dangereuse. Elle ne pouvait pas attendre des autres qu'ils parent ce danger par une attention accrue. Même si elle était prioritaire, cela ne l'exonérait pas de ses devoirs généraux de prudence ni du respect des règles de circulation. Il est possible que ce comportement était attribuable à une consommation de cannabis, à teneur du dossier, mais quoiqu'il en soit, peu importe pour quel motif le motocycliste a agi comme il l'a fait. Il demeure qu'il a circulé de la sorte. La prévenue pouvait se prévaloir du principe de la confiance, lequel l'emporte en l'espèce sur la règle de priorité. À teneur du dossier et de la configuration des lieux, elle a fait preuve de toute l'attention requise par les circonstances. Les circonstances concrètes au moment de l'accident n'exigeaient pas un autre comportement que celui adopté. Partant, il ne peut être établi que le comportement de l'appelante, bien qu'en lien direct avec la survenance du tragique accident du 22 mars 2018, serait constitutif d'une inattention fautive. Elle sera acquittée du chef d'homicide par négligence et la décision entreprise confirmée.</w:t>
      </w:r>
    </w:p>
    <w:p>
      <w:r>
        <w:rPr>
          <w:b/>
        </w:rPr>
        <w:t>E. 3</w:t>
      </w:r>
    </w:p>
    <w:p>
      <w:r>
        <w:t>Le MP et l'appelante succombent entièrement. Les frais de la procédure d'appel seront laissés à la charge de l'État (art. 428 et 136 al. 2 let. b CPP). Il n'y a pas lieu de revoir la répartition des frais de la procédure de première instance, excepté s'agissant de l'émolument complémentaire du jugement de 1 ère instance, lequel sera laissé à la charge de l'Etat.</w:t>
      </w:r>
    </w:p>
    <w:p>
      <w:r>
        <w:rPr>
          <w:b/>
        </w:rPr>
        <w:t>E. 4.1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L'indemnité visée par l'art. 429 al. 1 let. a CPP doit correspondre au tarif usuel du barreau applicable dans le canton où la procédure se déroule et englober la totalité des coûts de défense (ATF 142 IV 163 consid. 3). Il revient aux autorités pénales d'apprécier le caractère raisonnable de l'activité de l'avocat et elles disposent, dans ce cadre, d'un pouvoir d'appréciation considérable (ATF 142 IV 163 ). Le prévenu peut être enjoint de chiffrer et détailler ses prétentions (art. 429 al. 2 CPP), afin que l’autorité soit en mesure de procéder à cette appréciation. La Cour de justice applique un tarif horaire de CHF 350.- au collaborateur.</w:t>
      </w:r>
    </w:p>
    <w:p>
      <w:r>
        <w:rPr>
          <w:b/>
        </w:rPr>
        <w:t>E. 4.2</w:t>
      </w:r>
    </w:p>
    <w:p>
      <w:r>
        <w:t>Hormis le tarif horaire, qui sera ramené à CHF 350.-/h, l'activité déployée paraît adéquate. Partant, une indemnité de CHF 3'989.40 (TVA incluse) sera allouée à E______ pour ses frais de défense en appel.</w:t>
      </w:r>
    </w:p>
    <w:p>
      <w:r>
        <w:rPr>
          <w:b/>
        </w:rPr>
        <w:t>E. 5</w:t>
      </w:r>
    </w:p>
    <w:p>
      <w:r>
        <w:t>5.1. Selon l'art. 135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Ce forfait couvre notamment la rédaction de la déclaration d’appel ou d’appel joint, qui, sous l’angle de l’exigence de nécessité, peut consister en une simple lettre,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5.2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5.4</w:t>
      </w:r>
    </w:p>
    <w:p>
      <w:r>
        <w:t>Vu les principes qui précèdent, les postes de l'état de frais du conseil juridique gratuit pour la rédaction ou réception de courriers et du jugement ne seront pas pris ou rémunérés séparément, étant couverts par le forfait. 02h00 seront retenues pour la demande de non entrée en matière. Ce courrier renvoie essentiellement à celui adressé le 17 avril 2019 au procureur. La question de la qualité de partie plaignante des sœurs n'était pas nouvelle puisque plaidée à tous les stades de la procédure. De même, 05h00 seront retenues pour la préparation aux débats d'appel, le dossier était censé connu de l'avocat qui venait de le plaider en première instance. En conclusion, la rémunération sera arrêtée à CHF 2'029.75 correspondant à 11h00 heures d'activité au tarif de CHF 150.-/heure (CHF 1'650.-) plus la majoration forfaitaire de 10% (CHF 165.-), la TVA au taux de 7.7% (CHF 139.75) et le déplacement aux débats d'appel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