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P/5629/2019 vom 6. Juli 2020</w:t>
      </w:r>
    </w:p>
    <w:p>
      <w:r>
        <w:t>GE Cour de justice, 2020-07-06, FR</w:t>
      </w:r>
    </w:p>
    <w:p>
      <w:r>
        <w:rPr>
          <w:b/>
        </w:rPr>
        <w:t xml:space="preserve">Quelle: </w:t>
      </w:r>
      <w:r>
        <w:t>https://mcp.opencaselaw.ch/entscheid/ge_gerichte_P_5629_2019</w:t>
      </w:r>
    </w:p>
    <w:p>
      <w:r>
        <w:t>FR: GE_GERICHTE P/5629/2019 du 6 juillet 2020</w:t>
      </w:r>
    </w:p>
    <w:p>
      <w:r>
        <w:t>IT: GE_GERICHTE P/5629/2019 del 6 luglio 2020</w:t>
      </w:r>
    </w:p>
    <w:p>
      <w:pPr>
        <w:pStyle w:val="Heading2"/>
      </w:pPr>
      <w:r>
        <w:t>Regeste</w:t>
      </w:r>
    </w:p>
    <w:p>
      <w:r>
        <w:t>CP.286 LEI</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2.1.3.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2.2.1.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 2.2.2. Au sens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Le sursis est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2.2.3. La Directive du Parlement européen et du Conseil du 16 décembre 2008 relative aux normes et procédures communes applicables dans les Etats membres au retour des ressortissants de pays tiers en séjour irrégulier (Directive sur le retour 2008/115/CE),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LEI (ATF 143 IV 264 consid. 2.6 = SJ 2018 I 136 ; arrêts du Tribunal fédéral 6B_912/2017 du 4 octobre 2017 consid. 1.1 ; 6B_1078/2016 du 29 août 2017 consid. 2.1 ; 1B_422/2016 du 7 décembre 2016 consid. 2.2). 2.2.4. L'art. 115 al. 1 let. b LEI consacre un délit continu. La somme des peines prononcées à raison du délit continu ne doit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prévu par l'art. 34 al. 1, 1ère phrase, CP (ATF 145 IV 449 consid. 1).</w:t>
      </w:r>
    </w:p>
    <w:p>
      <w:r>
        <w:rPr>
          <w:b/>
        </w:rPr>
        <w:t>E. 2.3</w:t>
      </w:r>
    </w:p>
    <w:p>
      <w:r>
        <w:t>L'appelant ne conteste pas, à juste titre, sa culpabilité des chefs d'infraction à l'art. 19 al. 1 let. c et d LStup, punissable d'une peine privative de liberté de trois ans au plus ou d'une peine pécuniaire, ainsi qu'à l'art. 115 al. 1 let. b LEI, punissable d'une peine privative de liberté d'un an au plus ou d'une peine pécuniaire. Comme retenu par le premier juge, sa faute est importante. Il s'est livré sur une quinzaine de jours au début de l'année 2019 à un trafic de marijuana et de cocaïne, certes à l'échelle du vendeur de rue, mais, en particulier s'agissant de la cocaïne, pour une quantité de près de 30 gr. Il a aussi séjourné illégalement en Suisse pendant plus d'une année. Bien que renvoyé en Belgique, il est revenu en Suisse en 2014 et persiste depuis lors à y demeurer nonobstant la décision d'interdiction d'entrée prise à son encontre et valable jusqu'au 20 mai 2019. Autrement dit, il a profité de sa présence illégale dans ce pays pour se livrer à un trafic de stupéfiants, ce qui témoigne de son mépris de la législation en vigueur. Contrairement à ce qu'il soutient, sa volonté délictuelle est forte, étant observé qu'il a agi à plusieurs reprises s'agissant de la vente de drogue et entendait de son propre aveu persévérer à la date de son arrestation ; ladite volonté est même continue s'agissant du séjour illégal. L'appelant a agi par pur appât du gain rapide, en ce qui concerne la vente de stupéfiants, soit un mobile égoïste. Il a aussi agi par pure convenance personnelle et au mépris des règles en vigueur. Comme déjà retenu par la CPAR ( AARP/112/2020 du 13 mars 2020), Il ne faut pas sous-estimer le préjudice pour la collectivité du séjour illégal, y compris au plan matériel, puisque cela mobilise constamment les nombreux acteurs appelés à le réprimer. Même si la précarité de la situation personnelle du prévenu explique, en partie, ses agissements, elle ne saurait les justifier, étant relevé que son absence totale de liens avec la Suisse, la relation avec une femme établie à Genève dans le quartier de H______ n'étant pas avérée et au demeurant pas plaidée en appel, rend encore moins compréhensible son insistance à rester en toute illégalité dans ce pays. ladite précarité, qui le pousse à commettre des infractions, en est une conséquence inéluctable. S'il a d'emblée reconnu tous les faits reprochés, il lui aurait été difficile d'en contester la majeure partie compte tenu des circonstances de son interpellation du 13 mars 2019 alors qu'il était en possession de cocaïne qu'il a vainement chercher à cacher à la police. Il s'est bien gardé de donner des indications susceptibles d'identifier son fournisseur et a fourni des explications non crédibles et contradictoires sur la provenance de l'argent qu'il détenait. Sa collaboration doit, dans ces conditions être qualifiée, au plus, de bonne, plutôt que de très bonne comme retenu par le TP. L'appelant n'a tiré aucune leçon des décisions des autorités rendues à son encontre, au nombre de cinq depuis novembre 2013, comprenant déjà une condamnation pour infraction à la LStup. Ni le prononcé de deux peines pécuniaires (en novembre 2013 et en mars 2018), ni de peines privatives de liberté pour les trois autres n'ont eu l'effet dissuasif escompté, pas plus que l'octroi d'une libération conditionnelle le 7 juin 2015, laquelle s'est soldée par un échec. Il ne peut raisonnablement soutenir être désormais résolu à vivre dans la légalité, alors qu'il n'affirme pas avoir quitté la Suisse ou avoir l'intention de le faire, et que les perspectives d'une régularisation de son statut administratif paraissent illusoires. La prise de conscience alléguée n'est ainsi, au mieux, que superficielle. L'allégation selon laquelle l'appelant retirerait désormais un revenu de la vente d'encombrants expédiés en Afrique n'est nullement étayée, de sorte que rien ne permet d'espérer qu'il pourrait durablement subvenir à ses besoins, fussent-ils de base, sans recourir à nouveau à des actes illicites, « en désespoir de cause ». Dans ces circonstances et compte tenu de la situation actuelle, le pronostic à émettre concernant son comportement futur est clairement défavorable, ce qui exclut l'octroi du sursis. Le prononcé d'une peine privative de liberté s'impose au regard de ce qui précède, un signal sérieux paraissant indispensable. A cela s'ajoute que, comme déjà évoqué, la situation financière de l'appelant est plus qu'incertaine. Même à le suivre - ce que la CPAR ne fait pas - le supposé produit du commerce allégué ne lui permettrait guère que de se nourrir, se vêtir et se loger, sans marge aucune pour exécuter en sus une peine pécuniaire. Le concours d'infractions justifie une aggravation de la peine sanctionnant l'infraction la plus grave, à savoir la violation de la LStup, laquelle commanderait, comme justement retenu par le premier juge, le prononcé d'une peine de 90 jours. C'est aussi à bon escient que le TP a quantifié à 50 jours supplémentaires (peine hypothétique de 60 jours) la sanction afférente au séjour illégal. Sur ce dernier point, et contrairement à ce que soutient l'appelant, la somme des peines précédemment infligées pour sanctionner le séjour illégal n'atteint pas le plafond d'une année, étant observé que seuls les antécédents liés à des séjours en Suisse depuis avril 2014 sont susceptibles de relever d'un délit continu avec le présent, l'appelant disant être revenu en Suisse pour ne plus la quitter à partir de ce moment-là. L'appelant a ainsi déjà écopé de peines de 60 unités (condamnation du 11 avril 2014 qui sera prise en considération quand bien-même la période pénale est pour l'essentiel antérieure au mois d'avril 2014) + 90 unités (condamnation du 24 mai 2017) + 45 unités (condamnation du 7 mars 2018) pour cette seule infraction. Vu la brièveté de la durée pénale, la CPAR estime que la part de la peine privative de liberté infligée le 24 mai 2014 ne peut avoir été de plus de 30 unités pour le séjour illégal. Le total subi à ce jour, présente peine privative de liberté comprise, est dès lors, au plus et selon un calcul très favorable à la défense, de 275 unités, soit bien moins qu'une année. La peine privative de liberté ferme de 140 jours arrêtée par le premier juge s'avère ainsi adéquate. L'infraction à l'art. 286 CP, réprimée par un genre de peine différent, sera cumulée à la peine précédente, étant relevé que l'appelant n'a contesté ni sa quotité, ni le montant du jour-amende de CHF 10.-, en adéquation avec sa faute et sa situation personnelle, dont financière.</w:t>
      </w:r>
    </w:p>
    <w:p>
      <w:r>
        <w:rPr>
          <w:b/>
        </w:rPr>
        <w:t>E. 3</w:t>
      </w:r>
    </w:p>
    <w:p>
      <w:r>
        <w:t>L'appelant, qui succombe, supportera les frais de la procédure envers l'Etat comprenant un émolument de CHF 1'200.- (art. 428 CPP).</w:t>
      </w:r>
    </w:p>
    <w:p>
      <w:r>
        <w:rPr>
          <w:b/>
        </w:rPr>
        <w:t>E. 4</w:t>
      </w:r>
    </w:p>
    <w:p>
      <w:r>
        <w:t>Considéré globalement, l'état de frais de la défenseure d'office de l'appelant satisfait les règles et principes jurisprudentiels régissant l'assistance judiciaire pénale. La rémunération requise, par CHF 756.05(forfait de 20% pour les activité diverses et TVA au taux de 7.7% compris), lui est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