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P/5623/2025 vom 18. September 2025</w:t>
      </w:r>
    </w:p>
    <w:p>
      <w:r>
        <w:t>GE Cour de justice, 2025-09-18, FR</w:t>
      </w:r>
    </w:p>
    <w:p>
      <w:r>
        <w:rPr>
          <w:b/>
        </w:rPr>
        <w:t xml:space="preserve">Quelle: </w:t>
      </w:r>
      <w:r>
        <w:t>https://mcp.opencaselaw.ch/entscheid/ge_gerichte_P_5623_2025</w:t>
      </w:r>
    </w:p>
    <w:p>
      <w:r>
        <w:t>FR: GE_GERICHTE P/5623/2025 du 18 septembre 2025</w:t>
      </w:r>
    </w:p>
    <w:p>
      <w:r>
        <w:t>IT: GE_GERICHTE P/5623/2025 del 18 settembre 2025</w:t>
      </w:r>
    </w:p>
    <w:p>
      <w:pPr>
        <w:pStyle w:val="Heading2"/>
      </w:pPr>
      <w:r>
        <w:t>Regeste</w:t>
      </w:r>
    </w:p>
    <w:p>
      <w:r>
        <w:t>ORDONNANCE DE NON-ENTRÉE EN MATIÈRE;DROIT D'ÊTRE ENTENDU;CONTRAINTE(DROIT PÉNAL);CHANTAGE;TENTATIVE(DROIT PÉNAL) | CPP.107; CPP.310.al1.leta; CP.156; CP.181</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Selon l'art. 382 al. 1 CPP, toute partie qui a un intérêt juridiquement protégé à l'annulation ou à la modification d'une décision a qualité pour recourir contre celle-ci. L'art. 104 al. 1 let. b CPP précise que la qualité de partie est reconnue à la partie plaignante. À teneur de l'art. 118 al. 1 CPP, seul peut se constituer partie plaignante le lésé qui déclare expressément vouloir participer à la procédure pénale comme demandeur au pénal ou au civil. Une plainte pénale équivaut à une telle déclaration (al. 2). 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Il convient d'interpréter le texte de l'infraction pour en déterminer le titulaire et ainsi savoir qui a qualité de lésé (Y. JEANNERET / A. KUHN / C. PERRIER DEPEURSINGE (éds), Commentaire romand : Code de procédure pénale suisse , 2ème éd., Bâle 2019, n. 9 ad art. 115).</w:t>
      </w:r>
    </w:p>
    <w:p>
      <w:r>
        <w:rPr>
          <w:b/>
        </w:rPr>
        <w:t>E. 1.3</w:t>
      </w:r>
    </w:p>
    <w:p>
      <w:r>
        <w:t>À titre liminaire, la Chambre de céans constate que les recourants ne remettent pas en cause la non-entrée en matière s'agissant des infractions de concurrence déloyale (art. 23 cum</w:t>
      </w:r>
    </w:p>
    <w:p>
      <w:r>
        <w:rPr>
          <w:b/>
        </w:rPr>
        <w:t>E. 1.5</w:t>
      </w:r>
    </w:p>
    <w:p>
      <w:r>
        <w:t>En l'espèce, s'agissant de l'infraction de contrainte (art. 181 CP) et conformément à la jurisprudence précitée, les recourants, une personne physique et une personne morale, sont titulaires du bien juridique protégé par la loi. Concernant l'infraction d'extorsion et chantage (art. 156 CP), les messages du 20 et 21 janvier 2025 et le document intitulé " reconnaissance de dette " ont été adressés seulement à A______. Le précité siégeait alors comme administrateur-président de sa société, co-plaignante, ce que le mis en cause savait puisqu'il avait déjà travaillé avec celle-ci. Il peut donc être considéré que le versement exigé de la part du mis en cause concernait indifféremment le précité et/ou sa société. Dans la mesure où leur patrimoine était ainsi susceptible d'être touché, tous deux disposent d'un intérêt juridiquement protégé à obtenir l'annulation ou la modification de la décision querellée. Leur recours est, partant, recevable. 2. Les recourants invoquent une violation de leur droit d'être entendu, faute d'une motivation suffisante de la décision querellée. 2.1. L'obligation de motiver, telle qu'elle découle du droit d'être entendu (art. 29 al. 2 Cst.; cf. aussi art. 3 al. 2 let. c et 107 CPP), est respectée lorsque le juge mentionne, au moins brièvement, les motifs qui l'ont guidé et sur lesquels il a fondé sa décision (ATF 147 IV 409 consid. 5.3.4), de manière à ce que l'intéressé puisse se rendre compte de la portée de celle-ci et l'attaquer en connaissance de cause (ATF 143 IV 40 consid. 3.4.3; arrêt du Tribunal fédéral 6B_1127/2023 du 10 juin 2024 consid. 1.1). Il n'a toutefois pas l'obligation d'exposer et de discuter tous les faits, moyens de preuve et griefs invoqués par les parties, mais peut au contraire se limiter à ceux qui lui paraissent pertinents (ATF 147 IV 249 consid. 2.4). La motivation peut être implicite et résulter des différents considérants de la décision (ATF 141 V 557 consid. 3.2.1). 2.2. En l'espèce, la décision querellée n'a pas expressément traité les infractions de contrainte, de tentative de contrainte et de tentative d'extorsion. Cela étant, la violation du droit d'être entendu a été réparée en instance de recours. Le Ministère public, invité à formuler des observations, s'est en effet prononcé sur lesdites infractions. Sa motivation, bien que succincte, expose les raisons l'ayant conduit à retenir que l'élément constitutif objectif commun auxdites infractions, soit l'intensité du moyen de contrainte, n'était pas donné et que les conditions d'une non-entrée en matière étaient donc réunies. Une telle motivation permettait dès lors aux recourants de comprendre la décision et de la contester, ce qu'ils ont fait par leur recours et leur réplique. Partant, le vice sera considéré comme réparé dans le cadre de la procédure de recours.</w:t>
      </w:r>
    </w:p>
    <w:p>
      <w:r>
        <w:rPr>
          <w:b/>
        </w:rPr>
        <w:t>E. 3</w:t>
      </w:r>
    </w:p>
    <w:p>
      <w:r>
        <w:t>Les recourants reprochent au Ministère public de ne pas être entré en matière sur leur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rPr>
          <w:b/>
        </w:rPr>
        <w:t>E. 3.2</w:t>
      </w:r>
    </w:p>
    <w:p>
      <w:r>
        <w:t>L'art. 181 CP punit, quiconque, en usant de violence envers une personne ou en la menaçant d'un dommage sérieux, ou en l'entravant de quelque autre manière dans sa liberté d'action, l'oblige à faire, à ne pas faire ou à laisser faire un acte. La menace est un moyen de pression psychologique. L'auteur doit faire craindre à la victime un inconvénient, dont l'arrivée paraît dépendre de sa volonté. Il importe peu qu'en réalité l'auteur ne puisse pas influencer la survenance de l'événement préjudiciable ou qu'il n'ait pas l'intention de mettre sa menace à exécution (ATF 122 IV 322 consid. 1a; arrêt du Tribunal fédéral 6B_275/2016 du 9 décembre 2016 consid. 4.2.1). La menace peut être expresse ou tacite et être signifiée par n'importe quel moyen (B. CORBOZ, Les infractions en droit suisse, vol. I , 3e éd., 2010, n° 15 ad art. 156 CP). Le dommage évoqué peut toucher n'importe quel intérêt juridiquement protégé (arrêt 6S_277/2003 du 23 septembre 2003, consid. 2.1).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(ATF 122 IV 322 consid. 1a).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arrêt du Tribunal fédéral 6B_191/2022 du 21 septembre 2022 consid. 5.1.2).</w:t>
      </w:r>
    </w:p>
    <w:p>
      <w:r>
        <w:rPr>
          <w:b/>
        </w:rPr>
        <w:t>E. 3.3</w:t>
      </w:r>
    </w:p>
    <w:p>
      <w:r>
        <w:t>L'art. 156 ch. 1 CP punit, quiconque, dans le dessein de se procurer ou de procurer à un tiers un enrichissement illégitime, détermine une personne à des actes préjudiciables à ses intérêts pécuniaires ou à ceux d’un tiers, en usant de violence ou en la menaçant d’un dommage sérieux. La notion de menace d'un dommage sérieux est la même que celle figurant à l'art. 181 CP (M. DUPUIS / L. MOREILLON / C. PIGUET / S. BERGER / M. MAZOU / V. RODIGARI (éds), op.cit. , n. 9 ad art. 156 CP).</w:t>
      </w:r>
    </w:p>
    <w:p>
      <w:r>
        <w:rPr>
          <w:b/>
        </w:rPr>
        <w:t>E. 3.4</w:t>
      </w:r>
    </w:p>
    <w:p>
      <w:r>
        <w:t>Lorsque la victime ne se laisse pas intimider et n'adopte pas le comportement voulu par l'auteur, ce dernier est punissable de tentative de contrainte (art. 22 al. 1 CP; ATF 106 IV 125 consid. 2b). L'art. 22 al. 1 CP prévoit que le juge peut atténuer la peine si le résultat nécessaire à la consommation de l'infraction ne se produit pas.</w:t>
      </w:r>
    </w:p>
    <w:p>
      <w:r>
        <w:rPr>
          <w:b/>
        </w:rPr>
        <w:t>E. 3.5</w:t>
      </w:r>
    </w:p>
    <w:p>
      <w:r>
        <w:t>En l'espèce, les faits dénoncés s'inscrivent dans un contexte conflictuel ponctuel découlant d'une relation contractuelle entre un galeriste et l'artiste, le recourant, y ayant exposé des œuvres photographiques. L'artiste et la société dont il est administrateur reprochent au galeriste l'envoi d'un message selon lequel si le premier ne se présentait pas à la galerie au moment indiqué par le galeriste, un courrier serait envoyé à la société ayant acquis les œuvres photographiques pour un montant de CHF 400'000.-. Une fois sur place, une tierce personne aurait présenté à l'artiste un document intitulé " reconnaissance de dette ", sans indication d'un quelconque montant prétendument dû au titre de commission, en précisant que celui-ci ne pourrait quitter les lieux avant de l'avoir signé. Un tel comportement, si avéré, ne saurait correspondre à l'intensité de la pression telle que requise par les art. 156 ch. 1 et 181 CP. En effet, dans le contexte précité, les recourants concèdent que le mis en cause, après l'envoi du message décrié, a modifié l'heure du rendez-vous fixé dans sa galerie, faisant ainsi suite à la demande du plaignant, qui avait dit être indisponible durant la matinée. Par ailleurs, celui-ci s'est rendu à la galerie accompagné d'une collègue. Il ne soutient pas que le mis en cause aurait alors refusé de lui présenter le courrier qu'il menaçait d'envoyer à la société ayant acquis ses œuvres photographiques. Il ne prétend pas non plus que la tierce personne présente aux côtés du galeriste, qui lui aurait donné pour instruction de signer une reconnaissance de dette " en blanc " l'aurait, au-delà de lui dire qu'il ne quitterait pas les lieux avant de l'avoir signée, autrement et de manière substantielle entravé dans sa liberté d'action, en particulier alors qu'il avait refusé de signer ce document. De plus, les recourants ne démontrent pas avoir subi le moindre préjudice, que ce soit physique ou psychologique, aussi minime fût-il, pouvant être le résultat du comportement des mis en cause à leur encontre. Le ou les courriers qui auraient finalement été adressés à la société ayant acquis les œuvres ne semblent d'ailleurs avoir eu aucune répercussion sur eux. En tous les cas, ils n'en disent rien ni a fortiori ne le démontrent. Il en découle que c'est à juste titre que le Ministère public a considéré qu'une non-entrée en matière s'imposait sur la base de l'art. 301 al. 1 let. a CPP, faute de soupçons de la commission d'une infraction, et considéré que le litige opposant les recourants au galeriste était de nature civile. Aucun acte d'instruction n'est susceptible de modifier cette appréciation, l'audition du mis en cause, voire de la tierce personne présente dans la galerie, ne semblant pas de nature à apporter des éléments probants supplémentaires.</w:t>
      </w:r>
    </w:p>
    <w:p>
      <w:r>
        <w:rPr>
          <w:b/>
        </w:rPr>
        <w:t>E. 4</w:t>
      </w:r>
    </w:p>
    <w:p>
      <w:r>
        <w:t>Justifiée, l'ordonnance querellée sera donc confirmée.</w:t>
      </w:r>
    </w:p>
    <w:p>
      <w:r>
        <w:rPr>
          <w:b/>
        </w:rPr>
        <w:t>E. 5</w:t>
      </w:r>
    </w:p>
    <w:p>
      <w:r>
        <w:t>Les recourants succombent sur le fond (art. 428 al. 1 CPP), mais voient leur grief tiré d'une violation du droit d'être entendu admis (arrêt du Tribunal fédéral 7B_512/2023 du 30 septembre 2024 consid. 3.1). Ils seront, en conséquence, condamnés à la moitié des frais de la procédure de recours, fixés en totalité à CHF 1'000.- (art. 3 cum 13 al. 1 du Règlement fixant le tarif des frais en matière pénale, RTFMP; E 4 10.03), soit au paiement de CHF 500.-. Le solde de ces frais (CHF 500.-) sera laissé à la charge de l'État.</w:t>
      </w:r>
    </w:p>
    <w:p>
      <w:r>
        <w:rPr>
          <w:b/>
        </w:rPr>
        <w:t>E. 6.1</w:t>
      </w:r>
    </w:p>
    <w:p>
      <w:r>
        <w:t>Les recourants peuvent, corrélativement (ATF 144 IV 207 consid. 1.8.2), prétendre à l'octroi de dépens en lien avec l'activité pour laquelle ils ont obtenu gain de cause (soit à raison de 50%).</w:t>
      </w:r>
    </w:p>
    <w:p>
      <w:r>
        <w:rPr>
          <w:b/>
        </w:rPr>
        <w:t>E. 6.2</w:t>
      </w:r>
    </w:p>
    <w:p>
      <w:r>
        <w:t>Ils chiffrent à CHF 4'932.- leurs prétentions, correspondant à 10 heures et 45 minutes d’activité accomplies par une cheffe d’étude et une stagiaire, facturées aux tarifs horaires respectifs de CHF 550.- et CHF 250.-, cela pour les prestations suivantes : par l'associée, " Corresp. client re ONEM, analyse décision et JP " (30 minutes); " Conftél. client re recours contre ONEM " (30 minutes); " Draft recours c. ONEM ", acte qui comporte au final six pages et deux paragraphes de développement en fait et en droit (2 heures et 15 minutes); " Travail sur recours c. ONEM " (1 heure et 30 minutes); " Finalisation recours c. ONEM " (1 heure et 30 minutes); par la stagiaire " Recherches juridiques en vue du recours c. ONEM " (3 heures et 30 minutes); " Recherches juridiques et finalisation recours c. ONEM " (1 heure). Le temps consacré à certains de ces postes apparaît excessif. Il sera donc ramené, s’agissant de l’activité déployée par la cheffe d’étude à 4 heures, pour la rédaction du recours [pas de réplique]), " analyse décision et JP " ainsi qu'entretien avec le client [téléphone] et, concernant celle exécutée par la stagiaire, à 2 heures de recherches juridiques. Ces prestations doivent être rémunérées selon le tarif horaire usuel applicable à Genève, soit CHF 450.- pour un chef d'étude et CHF 150.- pour un avocat stagiaire ( ACPR/5/2023 du 4 janvier 2023, consid. 3.2). À cette aune, l’indemnisation sera arrêtée à la moitié de CHF 2'270.10 ([4 heures x CHF 450.-] + [2 heures x CHF 150.-], le total étant majoré de la TVA à 8.1%), soit CHF 1'135.05.</w:t>
      </w:r>
    </w:p>
    <w:p>
      <w:r>
        <w:rPr>
          <w:b/>
        </w:rPr>
        <w:t>E. 6.3</w:t>
      </w:r>
    </w:p>
    <w:p>
      <w:r>
        <w:t>Conformément à l'art. 442 al. 4 CPP, la créance de l'État fondée sur les frais de la procédure de recours (CHF 500.-) sera compensée, à due concurrence, avec le montant alloué au recourant à titre de dépens (CHF 1'135.05).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