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P/5582/2019 vom 4. April 2019</w:t>
      </w:r>
    </w:p>
    <w:p>
      <w:r>
        <w:t>GE Cour de justice, 2019-04-04, FR</w:t>
      </w:r>
    </w:p>
    <w:p>
      <w:r>
        <w:rPr>
          <w:b/>
        </w:rPr>
        <w:t xml:space="preserve">Quelle: </w:t>
      </w:r>
      <w:r>
        <w:t>https://mcp.opencaselaw.ch/entscheid/ge_gerichte_P_5582_2019</w:t>
      </w:r>
    </w:p>
    <w:p>
      <w:r>
        <w:t>FR: GE_GERICHTE P/5582/2019 du 4 avril 2019</w:t>
      </w:r>
    </w:p>
    <w:p>
      <w:r>
        <w:t>IT: GE_GERICHTE P/5582/2019 del 4 aprile 2019</w:t>
      </w:r>
    </w:p>
    <w:p>
      <w:pPr>
        <w:pStyle w:val="Heading2"/>
      </w:pPr>
      <w:r>
        <w:t>Regeste</w:t>
      </w:r>
    </w:p>
    <w:p>
      <w:r>
        <w:t>DIFFAMATION ; CALOMNIE ; ASSISTANCE JUDICIAIRE | cpp.310; cp.173; cp.174; cp.53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considère que le comportement des mis en cause est constitutif de calomnie, subsidiairement de diffamation.</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Le principe "in dubio pro duriore" découle du principe de la légalité (art. 5 al. 1 Cst. et 2 al. 2 CPP en relation avec les art. 19 al. 1 et 324 CPP ; ATF 138 IV 86 consid. 4.2 ;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Le caractère intrinsèquement attentatoire à l'honneur du terme "escroc" n'est pas discutable. La diffamation suppose une allégation de fait, et non pas un simple jugement de valeur. Pour distinguer l'allégation de fait du jugement de valeur, par exemple s'agissant des expressions "voleur" ou "escroc", il faut se demander, en fonction des circonstances, si les termes litigieux ont un rapport reconnaissable avec un fait ou sont employés pour exprimer le mépris (arrêt du Tribunal fédéral 6B_512/2017 du 12 février 2018 consid. 3.2 et les références). Pour qu'il y ait diffamation, il faut que l'auteur s'adresse à un tiers. Est en principe un tiers au sens des art. 173 et 174 CP toute personne autre que l'auteur et l'objet des propos qui portent atteinte à l'honneur, par exemple l'avocat de l'auteur, les magistrats (ATF 86 IV 209 et références citées). Toutefois, le Tribunal fédéral relève qu'en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(arrêt du Tribunal fédéral 6B_185/2011 du 22 décembre 2011 consid. 6.2 et les références citées). 3.2.2. Constituent une atteinte à l'honneur les accusations selon lesquelles une personne a commis une infraction pénale ou un acte généralement réprouvé par la société (arrêt du Tribunal fédéral 6B_224/2016 du 3 janvier 2017 consid. 2.2 et les références citées). 3.2.3. Dans le cadre judiciaire, l'existence d'une atteinte à l'honneur ne doit être admise que de manière restrictive, faute de quoi cela reviendrait à entraver les droits de la défense et à conférer un caractère pénal à toute contestation d'une plainte (A. MACALUSO / L. MOREILLON / N. QUELOZ (éds), Commentaire romand, Code pénal II, vol. II , Partie spéciale : art. 111-392 CP, Bâle 2017, ad art. 173-178 n. 38 et références citées).</w:t>
      </w:r>
    </w:p>
    <w:p>
      <w:r>
        <w:rPr>
          <w:b/>
        </w:rPr>
        <w:t>E. 3.3</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Sur le plan objectif, la calomnie implique donc la formulation ou la propagation d'allégations de fait fausses, qui soient attentatoires à l'honneur de la personne visée.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du Tribunal fédéral 6B_1100/2016 du 25 octobre 2017 consid. 3.4 ; 6B_1286/2016 du 15 août 2017 consid. 1.2).</w:t>
      </w:r>
    </w:p>
    <w:p>
      <w:r>
        <w:rPr>
          <w:b/>
        </w:rPr>
        <w:t>E. 4</w:t>
      </w:r>
    </w:p>
    <w:p>
      <w:r>
        <w:t>4.1. En l'espèce, il convient tout d'abord de souligner que ce litige s'inscrit dans le cadre d'une procédure difficile et conflictuelle entre E______ et B______. Dans un tel contexte, les accusations et les actes des parties doivent être considérés avec retenue sous l'angle du droit pénal. S'agissant des propos litigieux, il faut se référer au contexte dans lequel ils ont été rédigés et les apprécier à la lumière de l'ensemble du courriel du 26 avril 2018. Celui-ci se compose de deux pages, dans lesquelles B______ indique à son avocat, de manière détaillée, les points de la réplique de E______ qu'elle conteste et apporte des précisions sur les infractions reprochées à cette dernière, sans jamais mentionner A______. Ce n'est que dans le dernier paragraphe qu'elle conclut en se disant "écoeurée du comportement malhonnête de ce couple" et "espère que ces éclaircissements seront utiles et suffisants" . Il s'agit de la seule référence faite à A______ dans ce courriel et l'on ne peut le comprendre autrement que comme une référence à sa qualité de représentant de son épouse devant le Tribunal des Prud'hommes. Dans ce contexte, il apparaît évident que "le comportement malhonnête" ne fait manifestement pas référence aux infractions pénales dont est prévenue E______ et que B______ n'insinue nullement que A______ aurait participé d'une quelconque manière aux agissements de son épouse. En outre, l'on ne saurait retenir que lesdits propos puissent, dans ce contexte particulier, être constitutifs d'une infraction aux art. 173 et 174 CP, dès lors qu'ils ont atteint un cercle extrêmement restreint de personnes, toutes bien informées au sujet de cette affaire et parfaitement conscientes des circonstances particulières dans lesquels ils ont été énoncés.</w:t>
      </w:r>
    </w:p>
    <w:p>
      <w:r>
        <w:rPr>
          <w:b/>
        </w:rPr>
        <w:t>E. 4.2</w:t>
      </w:r>
    </w:p>
    <w:p>
      <w:r>
        <w:t>En tout état de cause, la culpabilité, même si elle était donnée, serait relativement faible, dès lors que le cercle des personnes qui ont eu connaissance des propos litigieux est extrêmement restreint et soumis à une obligation de secret. En outre, il est patent que la pièce litigieuse a été produite dans le but répondre à la réplique de E______ et non de porter des accusations à l'encontre de cette dernière ou de son mari. D'autre part, comme cela a été retenu par l'autorité précédente, le recourant n'allègue aucun dommage concret dont il aurait pu souffrir au regard des infractions commises par les mis en cause. Certes, il réclame, dans sa plainte pénale, un montant de CHF 4'000.- à titre de réparation morale, expliquant "avoir été choqué et blessé" par les propos litigieux, mais il n'indique pas en quoi ceux-ci atteindraient le seuil requis pour être considérés comme une atteinte à la personnalité propre à causer objectivement des graves souffrances morales (art. 49 CO). Il semble au contraire que les conséquences dommageables aient été très limitées pour le recourant. En conséquence, la non-entrée en matière serait également justifiée, par substitution de motifs, les conditions de l'art. 52 CP étant remplies.</w:t>
      </w:r>
    </w:p>
    <w:p>
      <w:r>
        <w:rPr>
          <w:b/>
        </w:rPr>
        <w:t>E. 5</w:t>
      </w:r>
    </w:p>
    <w:p>
      <w:r>
        <w:t>Justifiée, l'ordonnance querellée sera donc confirmée.</w:t>
      </w:r>
    </w:p>
    <w:p>
      <w:r>
        <w:rPr>
          <w:b/>
        </w:rPr>
        <w:t>E. 6</w:t>
      </w:r>
    </w:p>
    <w:p>
      <w:r>
        <w:t>Le rejet du recours rend sans objet la demande de récusation du Procureur chargé de la procédure, pour la suite de celle-ci. On ne pourrait de toute manière pas voir de prévention du magistrat dans le simple fait d'avoir prononcé une décision défavorable au recourant (ATF 139 III 120 consid. 3.2.1 p. 124 ; arrêts du Tribunal fédéral 6B_1424/2017 du 18 juin 2018 consid. 3.2 ; 6B_1238/2016 du 25 septembre 2017 consid. 4.1), que ce soit à cette occasion ou antérieurement.</w:t>
      </w:r>
    </w:p>
    <w:p>
      <w:r>
        <w:rPr>
          <w:b/>
        </w:rPr>
        <w:t>E. 7</w:t>
      </w:r>
    </w:p>
    <w:p>
      <w:r>
        <w:t>Enfin, le recourant sollicite d'être mis au bénéfice de l'assistance judiciaire.</w:t>
      </w:r>
    </w:p>
    <w:p>
      <w:r>
        <w:rPr>
          <w:b/>
        </w:rPr>
        <w:t>E. 7.1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7.2</w:t>
      </w:r>
    </w:p>
    <w:p>
      <w:r>
        <w:t>En l'espèce, quand bien même le recourant serait indigent, il a été jugé ci-dessus que ses griefs étaient juridiquement infondés. La requête d'assistance judiciaire ne peut donc qu'être rejetée.</w:t>
      </w:r>
    </w:p>
    <w:p>
      <w:r>
        <w:rPr>
          <w:b/>
        </w:rPr>
        <w:t>E. 8</w:t>
      </w:r>
    </w:p>
    <w:p>
      <w:r>
        <w:t>Le recourant, qui succombe, supporte les frais envers l'État, arrêtés à CHF 800.- (art. 428 al. 1 CPP et 13 al. 1 du Règlement fixant le tarif des frais en matière pénale, RTFMP ; E 4 10.03).</w:t>
      </w:r>
    </w:p>
    <w:p>
      <w:r>
        <w:rPr>
          <w:b/>
        </w:rPr>
        <w:t>E. 9</w:t>
      </w:r>
    </w:p>
    <w:p>
      <w:r>
        <w:t>Le refus de l'assistance judiciaire pour la procédure de recours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