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P/556/2013 vom 25. Februar 2014</w:t>
      </w:r>
    </w:p>
    <w:p>
      <w:r>
        <w:t>GE Cour de justice, 2014-02-25, FR</w:t>
      </w:r>
    </w:p>
    <w:p>
      <w:r>
        <w:rPr>
          <w:b/>
        </w:rPr>
        <w:t xml:space="preserve">Quelle: </w:t>
      </w:r>
      <w:r>
        <w:t>https://mcp.opencaselaw.ch/entscheid/ge_gerichte_P_556_2013</w:t>
      </w:r>
    </w:p>
    <w:p>
      <w:r>
        <w:t>FR: GE_GERICHTE P/556/2013 du 25 février 2014</w:t>
      </w:r>
    </w:p>
    <w:p>
      <w:r>
        <w:t>IT: GE_GERICHTE P/556/2013 del 25 febbraio 2014</w:t>
      </w:r>
    </w:p>
    <w:p>
      <w:pPr>
        <w:pStyle w:val="Heading2"/>
      </w:pPr>
      <w:r>
        <w:t>Regeste</w:t>
      </w:r>
    </w:p>
    <w:p>
      <w:r>
        <w:t>DISPOSITIONS PÉNALES DE LA LSTUP; DISPOSITIONS PÉNALES DE LA LETR | LStup.19.2; CP.47</w:t>
      </w:r>
    </w:p>
    <w:p>
      <w:pPr>
        <w:pStyle w:val="Heading2"/>
      </w:pPr>
      <w:r>
        <w:t>Erwägungen</w:t>
      </w:r>
    </w:p>
    <w:p>
      <w:r>
        <w:rPr>
          <w:b/>
        </w:rPr>
        <w:t>E. 1</w:t>
      </w:r>
    </w:p>
    <w:p>
      <w:r>
        <w:t>L'appel et l’appel joint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L’appel et l’appel joint ne portent en l’espèce que sur la quotité de la peine infligée à l’appelant par les premiers juges.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2.2.2.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2.2.3.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applicables à la novelle) : Même si la quantité de drogue ne joue pas un rôle prépondérant, elle constitue sans conteste un élément important. Elle perd cependant de l'importance au fur et à mesure que l'on s'éloigne de la limite, pour la cocaïne, de 18 grammes (cf. ATF 138 IV 100 consid. 3.2 p. 103 ; 120 IV 334 consid. 2a p. 338 ; 109 IV 143 consid. 3b p. 145) à partir de laquelle le cas doit être considéré comme grave.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 6B_567/2012 du 18 décembre 2012 consid. 3.2 ; 6B_793/2011 du 26 janvier 2012 consid. 4.1 et les références citées). 2.2.4. Bien que la récidive ne constitue plus un motif d'aggravation obligatoire de la peine (art. 67 aCP), les antécédents continuent de jouer un rôle très important dans la fixation de celle-ci (M. NIGGLI / H. WIPRÄCHTIGER, Basler Kommentar Strafrecht I : Art. 1-110 StGB , Jugendstrafgesetz,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2.3</w:t>
      </w:r>
    </w:p>
    <w:p>
      <w:r>
        <w:t>En l’espèce, il est établi par le dossier et non contesté en appel que l’activité coupable de l’appelant a porté sur la manipulation et le conditionnement d’une partie de la cocaïne trouvée dans l’appartement occupé par A______ en 2008, soit 34.46 gr, et d’une quantité de 413.10 gr de cette même substance saisie en 2011 dans un autre appartement de Genève. L’appelant a en outre effectué quatre transports de cocaïne entre Genève et Lausanne, pour une quantité totale de 300 gr de cette drogue, sur une période d’environ trois mois (novembre 2012 - janvier 2013), ces agissements délictueux n’ayant cessé qu'avec son interpellation le 11 janvier 2013. Le comportement de l’appelant réalise ainsi la circonstance aggravante prévue à la lettre a de l'art. 19 al. 2 LStup. Dans la fixation de la peine, il convient aussi de tenir compte du fait que l’appelant a un antécédent spécifique important, ayant déjà été condamné, en 2005, par les tribunaux vaudois, à une peine privative de liberté de sept ans pour trafic de cocaïne. Sorti de prison en juillet 2007, suite à sa libération conditionnelle, l’appelant a récidivé l’année suivante, ce qui montre qu’il n’a tiré aucune leçon de cette précédente condamnation. N'étant pas lui-même toxicomane, il a agi par pur appât du gain. Lors de l'enquête et du procès, il n’a pas manifesté de prise de conscience, persistant à minimiser son implication et se présentant comme une victime des circonstances, indiquant notamment avoir été dominé par un sentiment de panique lors de la manipulation de la drogue. Rien dans la situation personnelle de l’appelant n’explique ses agissements, ce d’autant qu’il bénéficiait d’une situation administrative régulière en France, qu’il avait pu travailler dans ce pays et bénéficier notamment d’aides sociales pour son logement. L’appelant reproche aux premiers juges d’avoir à tort considéré que son rôle dans le dernier trafic pour lequel il a été reconnu coupable allait au-delà de celui d’une simple « mule ». Ce grief est infondé. En effet, il résulte des écoutes téléphoniques que l’appelant n’avait pas un rôle purement passif limité au simple transport de la cocaïne entre Genève et Lausanne. Il était en effet en contact direct avec les clients, qui se plaignaient auprès de lui notamment de la qualité de la marchandise. Il discutait par ailleurs avec « F______ » du prix de la drogue, comme en témoigne la conversation du 14 décembre 2012 à 16h43, et faisait montre de détermination et motivation (cf. CT du 7 décembre 2012 à 0h32). Enfin, l’intense activité téléphonique tant avec son fournisseur « F______ » qu’avec d’autres interlocuteurs liés au trafic de cocaïne confirme ce rôle actif. Par ailleurs, c’est à juste titre que les premiers juges ont retenu que la période pénale est longue, dans la mesure où l’appelant est impliqué dans trois trafics de cocaïne qui s’étalent sur cinq ans, étant précisé qu’il n’a pas été retenu que l’appelant a agi pendant cette période sans discontinuer. Au vu de l'ensemble de ces circonstances, une peine sévère s'impose. Il y a aussi concours d'infractions avec l’infraction d’entrée illégale, non contestée, ce qui justifie une augmentation de la peine dans une juste proportion (art. 49 al. 1 CP). La peine privative de liberté de cinq ans prononcée par les premiers juges est adéquate et doit être confirmée. Contrairement à l’avis du Ministère public, il ne s’agit pas d’une peine trop clémente, étant rappelé qu’il n’y a pas lieu de tenir compte, lors de la fixation de la peine, d’anciennes condamnations de l’intéressé, éliminées de son casier judiciaire (cf. art. 369 CP et ATF 135 IV 87 ), ni d’une période pénale plus longue que celle visée par l’acte d’accusation.</w:t>
      </w:r>
    </w:p>
    <w:p>
      <w:r>
        <w:rPr>
          <w:b/>
        </w:rPr>
        <w:t>E. 2.4</w:t>
      </w:r>
    </w:p>
    <w:p>
      <w:r>
        <w:t>Le jugement entrepris sera ainsi entièrement confirmé.</w:t>
      </w:r>
    </w:p>
    <w:p>
      <w:r>
        <w:rPr>
          <w:b/>
        </w:rPr>
        <w:t>E. 3</w:t>
      </w:r>
    </w:p>
    <w:p>
      <w:r>
        <w:t>Les motifs ayant conduit les premiers juges à prononcer, par ordonnance séparée du 11 septembre 2013, le maintien de l’appelant principal en détention pour des motifs de sûreté sont toujours d'actualité, ce que celui-ci ne conteste au demeurant pas, de sorte que la mesure sera reconduite (ATF 139 IV 277 consid. 2.1-2.3).</w:t>
      </w:r>
    </w:p>
    <w:p>
      <w:r>
        <w:rPr>
          <w:b/>
        </w:rPr>
        <w:t>E. 4</w:t>
      </w:r>
    </w:p>
    <w:p>
      <w:r>
        <w:t>L'appelant principal, qui succombe, supportera la moitié des frais de la procédure d'appel comprenant, dans leur totalité, un émolument de jugement de CHF 1’500.- (art. 428 al. 1 CPP et 14 al. 1 let. e du Règlement fixant le tarif des frais en matière pénale du 22 décembre 2010 - RTFMP ; RS/GE E 4 10.03), le solde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