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P/5556/2015 vom 14. Dezember 2016</w:t>
      </w:r>
    </w:p>
    <w:p>
      <w:r>
        <w:t>GE Cour de justice, 2016-12-14, FR</w:t>
      </w:r>
    </w:p>
    <w:p>
      <w:r>
        <w:rPr>
          <w:b/>
        </w:rPr>
        <w:t xml:space="preserve">Quelle: </w:t>
      </w:r>
      <w:r>
        <w:t>https://mcp.opencaselaw.ch/entscheid/ge_gerichte_P_5556_2015</w:t>
      </w:r>
    </w:p>
    <w:p>
      <w:r>
        <w:t>FR: GE_GERICHTE P/5556/2015 du 14 décembre 2016</w:t>
      </w:r>
    </w:p>
    <w:p>
      <w:r>
        <w:t>IT: GE_GERICHTE P/5556/2015 del 14 dicembre 2016</w:t>
      </w:r>
    </w:p>
    <w:p>
      <w:pPr>
        <w:pStyle w:val="Heading2"/>
      </w:pPr>
      <w:r>
        <w:t>Regeste</w:t>
      </w:r>
    </w:p>
    <w:p>
      <w:r>
        <w:t>RÉVISION(DÉCISION) ; CONDITION DE RECEVABILITÉ ; NOUVEAU MOYEN DE FAIT | CPP.410.1.a CPP.412</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 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2.2</w:t>
      </w:r>
    </w:p>
    <w:p>
      <w:r>
        <w:t>En l'occurrence, le demandeur ne se prévaut d'aucun fait ou moyen de preuve nouveau qui commanderait que la Chambre de céans entre en matière sur la demande en révision. Sous prétexte d'une telle requête, l'intéressé conteste en réalité l'ordonnance pénale, comme il aurait eu toute latitude de le faire dans le cadre d'une opposition. Il lui aurait appartenu d'agir, par cette dernière voie, en temps utile. En aucun cas, une mise en perspective des faits à l'origine du litige ne constitue un moyen permettant la révision d'une décision entrée en force. Partant, et en l'absence de tout motif de révision, la demande sera déclarée irrecevable sans autre acte d'instruction.</w:t>
      </w:r>
    </w:p>
    <w:p>
      <w:r>
        <w:rPr>
          <w:b/>
        </w:rPr>
        <w:t>E. 3</w:t>
      </w:r>
    </w:p>
    <w:p>
      <w:r>
        <w:t>Le demandeur, qui succombe, supportera les frais de la procédure, comprenant un émolument de CHF 800.-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