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P/5553/2008 vom 19. September 2013</w:t>
      </w:r>
    </w:p>
    <w:p>
      <w:r>
        <w:t>GE Cour de justice, 2013-09-19, FR</w:t>
      </w:r>
    </w:p>
    <w:p>
      <w:r>
        <w:rPr>
          <w:b/>
        </w:rPr>
        <w:t xml:space="preserve">Quelle: </w:t>
      </w:r>
      <w:r>
        <w:t>https://mcp.opencaselaw.ch/entscheid/ge_gerichte_P_5553_2008</w:t>
      </w:r>
    </w:p>
    <w:p>
      <w:r>
        <w:t>FR: GE_GERICHTE P/5553/2008 du 19 septembre 2013</w:t>
      </w:r>
    </w:p>
    <w:p>
      <w:r>
        <w:t>IT: GE_GERICHTE P/5553/2008 del 19 settembre 2013</w:t>
      </w:r>
    </w:p>
    <w:p>
      <w:pPr>
        <w:pStyle w:val="Heading2"/>
      </w:pPr>
      <w:r>
        <w:t>Regeste</w:t>
      </w:r>
    </w:p>
    <w:p>
      <w:r>
        <w:t>ADMINISTRATION DES PREUVES; AGENT INFILTRÉ; IN DUBIO PRO REO; MEURTRE; ASSASSINAT; MEURTRE PASSIONNEL; TENTATIVE(DROIT PÉNAL); INSTIGATION; FIXATION DE LA PEINE; TORT MORAL ; PRINCIPE DE LA CÉLÉRITÉ | CPP.279.3; CPP.398; CPP.399; CPP.400; CPP.401; CPP.404; CPP.403; CPP.331; CP.47; CP.22; CPP.5; CO.49; CPP.298.3; CPP.10.3; CP.111; CP.112; CP.113; CP.24</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2.2.1 Au mois d'avril 2008, l'investigation secrète était régie par la loi fédérale sur l'investigation secrète, du 20 juin 2003 (aLFIS ; RS 312.8) et, à Genève, par les art. 56 et 57 de la loi d'application du code pénal suisse et d'autres lois fédérales en matière pénale, du 17 novembre 2006 (aLACP ; E 4 10). Selon les art. 14 let. b aLFIS et 57 al. 1 let. b aLACP, l'intervention d'un agent infiltré dans le cadre d'une procédure pénale était ordonnée par le juge d'instruction durant l'instruction préparatoire. L’art. 57 al. 4 aLACP prévoyait que la décision rendue par le Procureur général ou le juge d'instruction pouvait faire l'objet d'un recours auprès de la Chambre d'accusation, la procédure étant réglée par les art. 190 à 196 du code de procédure pénale alors en vigueur (aCPP ; E 4 20). Depuis le 1er janvier 2011, l'investigation secrète dans le cadre d'une procédure pénale est régie par le CPP lequel dispose notamment que les personnes qui ont fait l'objet d'une investigation secrète peuvent interjeter recours conformément aux articles 393 à 397 CPP (art. 298 al. 3 CPP). Dans un arrêt concernant la surveillance de la correspondance par postes et télécommunications, le Tribunal fédéral a jugé que si l'appréciation des preuves recueillies à l'occasion d'une surveillance téléphonique relevait de la compétence exclusive du juge du fond, à l'inverse, ce dernier n'était pas habilité à se prononcer sur la licéité ou la proportionnalité de la surveillance, devant uniquement apprécier les preuves qui en sont issues (arrêt du Tribunal fédéral 1B_425/2010 du 22 juin 2011 consid. 1.3). Dans cette affaire comme dans la présente cause, l’autorisation avait été donnée avant l’entrée en vigueur du CPP alors que le Tribunal fédéral examinait la question après le 1 er janvier 2011. Or, la surveillance téléphonique était, en avril 2008, soumise au même régime que l'investigation secrète s'agissant du recours devant la Chambre d'accusation, respectivement la Chambre des recours (art. 54 al. 3 let. a aLACP Ge et 279 al. 3 CPP) et le demeure sous l'égide du CPP. 2.2.2 Il s’ensuit que la CPAR ne peut entrer en matière s'agissant des griefs de l'appelant concernant la légalité de la mesure d'investigation secrète ordonnée. Au plan cantonal, la question était de la compétence exclusive de la Chambre d'accusation, laquelle n'a pas été saisie lorsqu'elle aurait pu l'être. En conclusion, les arguments de l’appelant tirés de l’illégalité alléguée de l’investigation secrète doivent être écartés.</w:t>
      </w:r>
    </w:p>
    <w:p>
      <w:r>
        <w:rPr>
          <w:b/>
        </w:rPr>
        <w:t>E. 2.3</w:t>
      </w:r>
    </w:p>
    <w:p>
      <w:r>
        <w:t>Faisant siens les motifs de l’ OARP/110/2013 , la CPAR rejette les autres réquisitions de preuve formulées par l’appelant, à l'exception de l'écoute complémentaire en audience de deux enregistrements téléphoniques n'ayant pas été retranscrits dans leur intégralité (cf. supra let. C.b.c et b.d).</w:t>
      </w:r>
    </w:p>
    <w:p>
      <w:r>
        <w:rPr>
          <w:b/>
        </w:rPr>
        <w:t>E. 3</w:t>
      </w:r>
    </w:p>
    <w:p>
      <w:r>
        <w:t>3.1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3.2.1 L’art. 111 CP réprime le comportement de celui qui aura intentionnellement tué une personne. 3.2.2 L'assassinat (art. 112 du Code pénal du 21 décembre 1937 (CP ; RS 311.0))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 ll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Une réaction de souffrance fondée sérieusement sur des motifs objectifs imputables à la victime exclut en général la qualification d'assassinat (ATF 118 IV 122 consid. 3d p. 129). Il faut en revanche retenir l'assassinat lorsqu'il ressort des circonstances de l'acte que son auteur fait preuve du mépris le plus complet pour la vie d'autrui (ATF 120 IV 265 consid. 3a p. 274 ; 118 IV 122 consid. 2b p. 126 ; cf. également ATF 117 IV 369 consid. 19b p. 394). 3.2.3 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118 IV 233 consid. 2a p. 236 ; arrêt du Tribunal fédéral 6S.310/2006 du 29 novembre 2006 consid. 3 et les références citées). L'émotion violente suppose que l'auteur réagisse de façon plus ou moins immédiate à un sentiment soudain qu'il ne parvient pas à dominer. Le profond désarroi est un état émotionnel qui mûrit progressivement, qui couve pendant longtemps, jusqu'à ce que l'auteur soit complètement désespéré et ne voie d'autre issue que l'homicide (FF 1985 II 1035 s. ; ATF 119 IV 202 consid. 2a p. 203 s. ; 118 IV 233 consid. 2a p. 235 s.).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(ATF 119 IV 202 consid. 2a p. 203 s.). Pour admettre le meurtre passionnel, il ne suffit pas de constater que l'auteur était en proie à une émotion violente ou se trouvait dans un profond désarroi. Il faut encore que son état ait été rendu excusable par les circonstances (ATF 119 IV 202 consid. 2a p. 203 s. ; 118 IV 233 consid. 2a p. 235 s.) ;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et les réf.).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(ATF 82 IV 86 consid. 1 p. 88). Pour savoir si le caractère excusable d'un profond désarroi ou d'une émotion violente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(arrêts du Tribunal fédéral 6B_719/2009 du 3 décembre 2009 consid. 1.3. et 6B_158/2009 du 1 er mai 2009 consid. 2, avec référence aux ATF 108 IV 99 consid. 3b p. 102 et 107 IV 105 consid. 2b/bb p. 106). 3.2.4 Pour autant que les conditions prévues aux articles 112 CP et ss ne soient pas réalisées, l'art. 111 CP puni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 2 e éd., Berne 1995, p. 200 n° 152). 3.3.1 L'intention délictuelle de l'appelant, soit celle d'intenter à la vie de B______, ressort de plusieurs éléments du dossier. Bien qu'il ait varié dans ses déclarations, l'appelant a admis devant le Tribunal correctionnel avoir accepté l'offre de faire tuer B______ pour CHF 20'000.-. Dès sa première rencontre avec l'agent infiltré, son projet est apparu clair, en ce sens qu'il recherchait une personne pouvant faire disparaitre B______ de façon définitive, ainsi que son geste de la main mimant quelqu'un couché en atteste. L'appelant a également indiqué à plusieurs reprises à D______ que s'il "choppait" B______, il le tuerait et il a fait part de ce souhait à sa femme lors d'une de leurs disputes. Bien qu'il ne soit pas exclu que ces mots aient pu être prononcés sous le coup de la colère, l'idée de commettre un homicide semblait présente dans l'esprit de l'appelant avant sa rencontre avec les ressortissants des Balkans. Il n'a hésité à aucun moment, pas même au stade ultime lorsque l'agent infiltré lui a téléphoné pour lui demander s'il pouvait exécuter le contrat. L'appelant n'a accordé aucune importance au mode d'exécution, soit à la souffrance de la victime, proposant à l'agent infiltré de procéder à mains nues ou par tout autre moyen, faute de pouvoir disposer d'une arme, ce qui témoigne de sa détermination à ne pas s'arrêter en chemin dans son entreprise criminelle. Durant les douze jours de l'investigation secrète, l'appelant n'a présenté aucun signe de crainte ou de méfiance vis-à-vis de l'agent infiltré, qui l'a décrit avec une voix et une attitude normales à tout moment. L'appelant s'est au contraire montré actif, communiquant à son interlocuteur une photographie de la victime, des renseignements sur ses habitudes, ainsi que l'adresse de B______ afin de s'assurer du succès de son projet. Il lui a également proposé de lui fournir une arme, donnant à cet effet CHF 1'500.- à D______. Force est ainsi de constater que l'appelant n'a pas agi sous la crainte de l'agent infiltré mais qu'il était libre à tout moment de mettre un terme au contrat. Il a affiché une importante détermination et s'est montré pressé d'en finir. La pertinence de l'écoute téléphonique effectuée en audience est relative, dès lors que A______ s'est procuré l'argent et a pu remettre à "G______" la somme convenue pour l'exécution. Les mobiles de l’appelant tenaient pour partie à la rancœur et à la jalousie nourries à l’encontre de la victime, qu'il considérait comme responsable de l’échec de son mariage et des difficultés professionnelles rencontrées, soit des motifs futiles et qui demeurent hypothétiques dès lors que la relation extra-conjugale de son épouse n'a pas été prouvée, tout comme les autres accusations formulées contre B______. L’appelant a agi avec un manque de scrupule complet et de façon particulièrement perfide, prenant la décision de faire éliminer son présumé rival, par un homme de main, contre la remise d'une somme d'argent. Il a planifié le passage à l’acte, apportant son aide en essayant vainement de trouver une arme et en communiquant l'adresse de la victime dès qu'il a réussi à l'obtenir. Il a agi avec détermination, maintenant sa décision pendant une longue période et malgré la difficulté rencontrée par le tireur à gage pour localiser la victime, sans que ce contretemps ne le conduise à renoncer à son projet. Enfin, l'appelant est apparu concentré et satisfait de l'issue de son projet quand il a pu visionner le simulacre de l'exécution. Il a d'ailleurs remis l'enveloppe à l'agent infiltré et s'en est allé sans montrer aucun signe de remord. Dans ces circonstances, la qualification juridique de tentative d’instigation à assassinat ne peut qu’être accréditée et partant, celle de tentative d'instigation à meurtre écartée. Le jugement entrepris sera confirmé sur ce point. 3.3.2 L'appelant soutient avoir agi dans un profond désarroi, causé par la relation extraconjugale de son épouse, les provocations de B______ et leur projet d'intenter à sa vie. S'il nourrissait de la colère envers B______ en raison des rapports étroits entretenus avec sa femme, qu'il n'acceptait pas, notamment en raison des mœurs et valeurs de leur communauté d'origine, il n'en demeure pas moins qu'un homme raisonnable, placé dans la même situation, n'aurait pas pris la même décision. Les sms à caractères sentimentaux figurant à la procédure, qui au demeurant résultent d'une plaisanterie entre E______ et sa sœur, ne peuvent justifier une telle réaction de l'appelant. En admettant que l'appelant était en proie à un certain désarroi, en raison de l'échec de son mariage, il ne peut être qualifié de profond et la situation vécue n'était pas suffisamment dramatique pour amener un homme raisonnable à commettre un homicide. L'appelant ne vivait plus avec sa femme depuis le début de l'année et n'employait plus B______, avec lequel il n'avait plus de contact, preuves en sont les difficultés rencontrées pour le localiser. De plus, bien qu'il prétende s'être senti perdu et être resté prostré chez lui à boire de l'alcool, il admet également avoir continué à gérer ses restaurants sans rien laisser transparaitre auprès de ses salariés, ce qui permet de relativiser l'état de prostration allégué. Au vu de ce qui précède, le profond désarroi que l'appelant dit avoir ressenti n'a pas été démontré et les conditions de l'article 113 CP ne sont pas réalisées. Le jugement entrepris doit être confirmé sur ce point.</w:t>
      </w:r>
    </w:p>
    <w:p>
      <w:r>
        <w:rPr>
          <w:b/>
        </w:rPr>
        <w:t>E. 4</w:t>
      </w:r>
    </w:p>
    <w:p>
      <w:r>
        <w:t>4.1.1 En vertu des art. 112 et 24 CP, l’instigation à assassinat est passible d’une peine privative de liberté de dix ans au moins.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 134 IV 17 consid. 2.1). 4.1.3 Selon la jurisprudence constante du Tribunal fédéral et sur la base d'une interprétation de l'art. 63 CP conforme à la Constitution et aux droits de l'homme, les effets du recours à un agent infiltré doivent être pris en considération de manière appropriée en faveur de l'accusé dans le cadre de la fixation de la peine […]. De manière générale, il y a toujours lieu de prendre en considération le fait que des agents infiltrés ont participé à des actes punissables, voire les ont facilités, puisque leur comportement, même purement passif, peut influer sur la culpabilité de l'auteur. Si un tel encouragement ne détermine pas le fait qu'un acte délictueux soit commis, voire en conditionne la gravité, mais qu'il se limite à modérer l'énergie criminelle de l'auteur de cet acte, alors sa culpabilité n'est diminuée que de façon négligeable, ce qui justifiera tout au plus une légère réduction de la peine (ATF 124 IV 34 ; JdT 2006 IV 145 consid. 3 b).</w:t>
      </w:r>
    </w:p>
    <w:p>
      <w:r>
        <w:rPr>
          <w:b/>
        </w:rPr>
        <w:t>E. 4.2</w:t>
      </w:r>
    </w:p>
    <w:p>
      <w:r>
        <w:t>Selon l'article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l'article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w:t>
      </w:r>
    </w:p>
    <w:p>
      <w:r>
        <w:rPr>
          <w:b/>
        </w:rPr>
        <w:t>E. 4.3</w:t>
      </w:r>
    </w:p>
    <w:p>
      <w:r>
        <w:t>Garanti aux art. 29 al. 1 Cst., 6 par. 1 CEDH et 5 al. 1 CPP,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(ATF 133 IV 158 consid. 8 p. 170 ; arrêt du Tribunal fédéral 6B_557/2008 du 29 septembre 2008 consid. 3.3.1).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 arrêt du Tribunal fédéral 1B_69/2011 du 4 mars 2011 consid. 5.1). Après la clôture de l’instruction, le prévenu doit en principe être renvoyé devant le juge du fond dans un délai qui, pour être conforme aux exigences du principe de célérité, ne devrait pas excéder quelques semaines, voire quelques mois (arrêt du Tribunal fédéral 1P.540/2002 du 4 novembre 2002 consid. 4.3). La constatation d’une violation du principe de célérité entraîne, si elle est commise au préjudice d’un accusé reconnu coupable, une réduction de la peine, soit des effets de droit matériel (ATF 133 IV 158 consid. 8 p. 170 ; arrêt du Tribunal fédéral 1B_69/2011 du 4 mars 2011 consid. 5.2).</w:t>
      </w:r>
    </w:p>
    <w:p>
      <w:r>
        <w:rPr>
          <w:b/>
        </w:rPr>
        <w:t>E. 4.4</w:t>
      </w:r>
    </w:p>
    <w:p>
      <w:r>
        <w:t>La faute de l’appelant est extrêmement grave. Il a pris, avec une facilité déconcertante, la décision de s'en prendre à la vie d’un homme. Il a agi avec froideur et détermination, allant jusqu'à exiger la preuve de la mort de sa victime. Il a fait preuve du mépris le plus complet pour la vie humaine, souhaitant faire disparaitre un rival par jalousie, et afin de conserver son image, soit pour un mobile futile et égoïste. Il a de plus fait preuve de lâcheté, s’offrant les services d’un tueur à gage pour atteindre sa victime. Il s'est montré indifférent à la souffrance de celle-ci, dès lors qu’il a expliqué à l'agent infiltré que s’il ne trouvait pas d’arme, il pouvait l’exécuter d’une autre manière, par exemple à mains nues. Il n'a présenté aucun regret mais s'est au contraire montré honteusement satisfait après qu'il crut avoir eu la preuve de l'exécution de sa victime. Bien que concentrée sur une courte période, sa volonté criminelle a été intense, au regard des contacts permanents et de son insistance auprès de l'agent infiltré pendant quinze jours. Il s'est montré impatient d'en finir et a pris une part active dans l'organisation de l'exécution, en cherchant à se procurer une arme et en s'empressant de communiquer l'adresse de la victime à l'agent infiltré. La collaboration de l'appelant a dans un premier temps été inexistante. Il a finalement admis, devant le juge d'instruction, avoir eu l'intention de faire tuer l'intimé. Il a cherché à minimiser sa responsabilité en mettant la faute sur C______, qui lui aurait fortement soufflé d'éliminer l'intimé plutôt que de l'effrayer, puis sur la peur que l'agent infiltré lui aurait fait ressentir. Il a également essayé de présenter son acte sous le couvert d’un meurtre passionnel, dépeignant la victime comme un tueur potentiel, à tout le moins comme un provocateur. A décharge, il n'y a pas de concours d’infractions et l'acte est resté au stade de la tentative. Cependant, ce sont des circonstances extérieures qui ont empêché la commission de l'assassinat, le tueur à gage étant un agent infiltré. Si tel n'avait pas été le cas, le plan mis en place par l'appelant aurait pu aboutir. En raison de l'absence du témoignage de C______, il existe un doute sur l'ampleur de l'influence qu'ont pu exercer les personnes rencontrées parmi le groupe des Balkans, ce qui influera sur l'appréciation de la gravité de la faute. Il sera également tenu compte de l'intervention de l'agent infiltré, qui a facilité la commission de l'infraction. Les difficultés que l'appelant aurait pu rencontrer face à un véritable tueur à gage ne sont pas connues, mais on ne peut exclure que les événements se soient enchainés avec moins de facilité. L'enregistrement entendu en audience confirme que la police n'avait que peu d'éléments permettant d'identifier la victime. Par contre, ils avaient suffisamment d'éléments pertinents permettant d'inculper l'appelant en amont. Ils l'ont cependant laissé poursuivre son projet, jusqu'à la remise de l'argent, évitant ainsi de faire courir le risque à la victime de ne pas l'identifier à temps et consolidant par là-même les éléments constitutifs de l'infraction. L'appelant n'a pas d'antécédent. Il a exprimé des regrets, certes tardivement, mais qui paraissent sincères. De plus, il a suivi sa thérapie, a cessé sa consommation d'alcool et s'est rendu aux contrôles médicaux de façon sérieuse et régulière. Selon l'expert mandaté, la responsabilité de l'appelant était entière et aucune circonstance atténuante ne saurait lui être imputée, malgré sa consommation d'alcool à l'époque des faits. Enfin, c'est à juste titre que les premiers juges ont retenu la violation du principe de célérité pour la phase avant l'appel. Par conséquent, la peine privative de liberté de cinq ans prononcée par les premiers juges est adéquate, de sorte qu’il n’y a pas lieu de s’en écarter, sur appel du Ministère public, pas plus qu’il n’y a lieu à réduction comme le souhaitait l'appelant. Le jugement entrepris sera également confirmé sur ce point.</w:t>
      </w:r>
    </w:p>
    <w:p>
      <w:r>
        <w:rPr>
          <w:b/>
        </w:rPr>
        <w:t>E. 5</w:t>
      </w:r>
    </w:p>
    <w:p>
      <w:r>
        <w:t>5.1 Selon l'art. 404 al. 2 CPP, la juridiction d'appel peut examiner en faveur du prévenu des points du jugement qui ne sont pas attaqués, afin de prévenir des décisions illégales ou inéquitables.</w:t>
      </w:r>
    </w:p>
    <w:p>
      <w:r>
        <w:rPr>
          <w:b/>
        </w:rPr>
        <w:t>E. 5.2</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5.3</w:t>
      </w:r>
    </w:p>
    <w:p>
      <w:r>
        <w:t>En l'espèce, A______ a conclu au rejet des conclusions civiles. Bien que sa culpabilité soit confirmée en appel, il convient d'examiner si le montant de l'indemnité octroyée à la victime est conforme à la loi. B______ a déménagé et changé de numéro de téléphone à plusieurs reprises par crainte de l'appelant. Il a été profondément affecté par l'homicide dont il aurait pu être victime, ne se sentant plus serein dans sa vie quotidienne. La peur qui l'habite suite aux intentions assassines de l'appelant est compréhensible. Cependant, il n'a suivi aucune thérapie et à teneur du dossier, aucun document n'atteste d'une souffrance dépassant le seuil de gravité ordinaire. Pour ces motifs, l'indemnité fixée par le Tribunal correctionnel est excessive et il se justifie de réduire le montant de celle-ci à une somme de CHF 5'000.-, montant qui tient équitablement compte de la peur ressentie et de l'atteinte subie par B______. Le jugement du Tribunal correctionnel sera par conséquent modifié sur ce point.</w:t>
      </w:r>
    </w:p>
    <w:p>
      <w:r>
        <w:rPr>
          <w:b/>
        </w:rPr>
        <w:t>E. 6</w:t>
      </w:r>
    </w:p>
    <w:p>
      <w:r>
        <w:t>L'appelant qui succombe dans une très large mesure, sur questions préjudicielles et sur le fond, supportera les trois quarts des frais de la procédure d’appel (art. 428 CPP), comprenant dans leur totalité un émolument de décision de CHF 3'000.- (art. 14 al. 1 let. e du Règlement fixant le tarif des frais en matière pénale [RTFMP - E 4 10.03]), la part incombant au Ministère public étant laissée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