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P/554/2020 vom 14. Mai 2020</w:t>
      </w:r>
    </w:p>
    <w:p>
      <w:r>
        <w:t>GE Cour de justice, 2020-05-14, FR</w:t>
      </w:r>
    </w:p>
    <w:p>
      <w:r>
        <w:rPr>
          <w:b/>
        </w:rPr>
        <w:t xml:space="preserve">Quelle: </w:t>
      </w:r>
      <w:r>
        <w:t>https://mcp.opencaselaw.ch/entscheid/ge_gerichte_P_554_2020</w:t>
      </w:r>
    </w:p>
    <w:p>
      <w:r>
        <w:t>FR: GE_GERICHTE P/554/2020 du 14 mai 2020</w:t>
      </w:r>
    </w:p>
    <w:p>
      <w:r>
        <w:t>IT: GE_GERICHTE P/554/2020 del 14 maggio 2020</w:t>
      </w:r>
    </w:p>
    <w:p>
      <w:pPr>
        <w:pStyle w:val="Heading2"/>
      </w:pPr>
      <w:r>
        <w:t>Regeste</w:t>
      </w:r>
    </w:p>
    <w:p>
      <w:r>
        <w:t>DÉTENTION PROVISOIRE;SOUPÇON;RISQUE DE COLLUSION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un intérêt à l'annulation de l'ordonnance entreprise (art. 104 al. 1 let. a et 382 al. 1 CPP).</w:t>
      </w:r>
    </w:p>
    <w:p>
      <w:r>
        <w:rPr>
          <w:b/>
        </w:rPr>
        <w:t>E. 2</w:t>
      </w:r>
    </w:p>
    <w:p>
      <w:r>
        <w:t>La recourante conteste l'existence de soupçons suffisants à son encontre.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La recourante conteste toute implication dans ces escroqueries et s'appuie sur les déclarations de son compagnon qui la dédouane complètement. Il convient de retenir que son ami a reconnu lesdites escroqueries, expliquant notamment être l'auteur des faux documents et des vols de documents divers. Ce dernier, qui vit chez la recourante depuis près d'une année, a utilisé, dit-il, l'ordinateur de celle-ci pour faire de fausses fiches salaire. Cela étant, à ce stade très précoce de l'instruction, les soupçons qui pèsent sur elle sont suffisants au vu de la ressemblance de son écriture avec celle des bulletins de versement falsifiés, bien qu'elle le conteste et que son ami affirme en être l'auteur, de ce qu'un sac postal volé a été retrouvé chez elle ainsi que de la présence en ce lieu des courriers et documents volés. Il appartiendra, cependant, au Ministère public de procéder, rapidement, à l'analyse strictement graphologique des documents et à la confrontation avec les autres protagonistes pour déterminer l'implication de la recourante dans ces infractions et affermir les soupçons.</w:t>
      </w:r>
    </w:p>
    <w:p>
      <w:r>
        <w:rPr>
          <w:b/>
        </w:rPr>
        <w:t>E. 3</w:t>
      </w:r>
    </w:p>
    <w:p>
      <w:r>
        <w:t>La recourante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la recourante, loin de collaborer à l'instruction, conteste, au contraire, les charges, déclarant même ne pas avoir vu le sac postal volé qui se trouvait dans une chambre de son appartement; elle affirme ne pas connaître M______ et n'avoir jamais assisté à une remise d'argent à son compagnon. Il existe dès lors un risque important et concret que, remise en liberté, elle n'intervienne pour influencer celui qui la met en cause, voire ne contacte d'autres protagonistes.</w:t>
      </w:r>
    </w:p>
    <w:p>
      <w:r>
        <w:rPr>
          <w:b/>
        </w:rPr>
        <w:t>E. 4</w:t>
      </w:r>
    </w:p>
    <w:p>
      <w:r>
        <w:t>Vu le risque de collusion, l'autorité de recours peut ainsi se dispenser d'examiner si le risque de réitération retenu par le TMC est également réalisé (arrêt du Tribunal fédéral 1B_322/2019 du 17 juillet 2019 consid. 3.3 et la jurisprudence citée).</w:t>
      </w:r>
    </w:p>
    <w:p>
      <w:r>
        <w:rPr>
          <w:b/>
        </w:rPr>
        <w:t>E. 5</w:t>
      </w:r>
    </w:p>
    <w:p>
      <w:r>
        <w:t>La recourante propose des mesures de substitution à la détention.</w:t>
      </w:r>
    </w:p>
    <w:p>
      <w:r>
        <w:rPr>
          <w:b/>
        </w:rPr>
        <w:t>E. 5.1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5.2</w:t>
      </w:r>
    </w:p>
    <w:p>
      <w:r>
        <w:t>En l'espèce, le risque de collusion est bien trop important pour que la seule interdiction de contact suffise à le pallier. Par ailleurs, l'assignation à domicile n'est pas de nature à empêcher la réalisation de ce risque, les contacts téléphoniques voire par internet ou la venue de tiers ne l'empêchant pas d'entrer en relation avec qui elle souhaiterait. Il n'existe donc pas de moyens de substitution propre à le pallier.</w:t>
      </w:r>
    </w:p>
    <w:p>
      <w:r>
        <w:rPr>
          <w:b/>
        </w:rPr>
        <w:t>E. 6</w:t>
      </w:r>
    </w:p>
    <w:p>
      <w:r>
        <w:t>La détention provisoire, prolongée au 14 juillet 2020, respecte le principe de la proportionnalité (art. 197 al. 1 et 212 al. 3 CPP), au vu de la peine concrètement encourue si les soupçons devaient se confirmer, et apparaît suffisante pour procéder aux confrontations nécessaires.</w:t>
      </w:r>
    </w:p>
    <w:p>
      <w:r>
        <w:rPr>
          <w:b/>
        </w:rPr>
        <w:t>E. 7</w:t>
      </w:r>
    </w:p>
    <w:p>
      <w:r>
        <w:t>Le recours s'avère ainsi infondé et doit être rejeté.</w:t>
      </w:r>
    </w:p>
    <w:p>
      <w:r>
        <w:rPr>
          <w:b/>
        </w:rPr>
        <w:t>E. 8</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