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P/5545/2023 vom 20. Oktober 2025</w:t>
      </w:r>
    </w:p>
    <w:p>
      <w:r>
        <w:t>GE Cour de justice, 2025-10-20, FR</w:t>
      </w:r>
    </w:p>
    <w:p>
      <w:r>
        <w:rPr>
          <w:b/>
        </w:rPr>
        <w:t xml:space="preserve">Quelle: </w:t>
      </w:r>
      <w:r>
        <w:t>https://mcp.opencaselaw.ch/entscheid/ge_gerichte_P_5545_2023</w:t>
      </w:r>
    </w:p>
    <w:p>
      <w:r>
        <w:t>FR: GE_GERICHTE P/5545/2023 du 20 octobre 2025</w:t>
      </w:r>
    </w:p>
    <w:p>
      <w:r>
        <w:t>IT: GE_GERICHTE P/5545/2023 del 20 ottobre 2025</w:t>
      </w:r>
    </w:p>
    <w:p>
      <w:pPr>
        <w:pStyle w:val="Heading2"/>
      </w:pPr>
      <w:r>
        <w:t>Regeste</w:t>
      </w:r>
    </w:p>
    <w:p>
      <w:r>
        <w:t>ORDONNANCE DE NON-ENTRÉE EN MATIÈRE;GESTION DÉLOYALE;DÉLAI;PLAINTE PÉNALE;GÉRANT(SENS GÉNÉRAL);DOMMAGE;LÉSÉ | CPP.310; CP.31; CP.158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est recevable pour avoir été déposé selon la forme et dans le délai prescrits (art. 385 al. 1 et 396 al. 1 CPP), concerner une décision sujette à recours auprès de la Chambre de céans (art. 393 al. 1 let. a CPP) et émaner du plaignant, lequel dispose d'un intérêt juridiquement protégé à la modification ou à l'annulation de la décision querellée (art. 382 al. 1 CPP), puisqu'il se prévaut d'un préjudice commis au détriment d'une communauté héréditaire dont il est membre (ATF 141 IV 380 consid. 2.3.4).</w:t>
      </w:r>
    </w:p>
    <w:p>
      <w:r>
        <w:rPr>
          <w:b/>
        </w:rPr>
        <w:t>E. 2.2</w:t>
      </w:r>
    </w:p>
    <w:p>
      <w:r>
        <w:t>Il en va de même des pièces nouvelles produites à l'appui de cet acte (arrêt du Tribunal fédéral 1B_550/2022 du 17 novembre 2022 consid. 2.1).</w:t>
      </w:r>
    </w:p>
    <w:p>
      <w:r>
        <w:rPr>
          <w:b/>
        </w:rPr>
        <w:t>E. 3</w:t>
      </w:r>
    </w:p>
    <w:p>
      <w:r>
        <w:t>La Chambre de céans constate que le recourant ne revient pas sur la prévention d'abus de confiance (art. 138 CP), évoquée dans sa plainte, dès lors qu'aucun argument visant à démontrer la réalisation de cette infraction n'est développé dans son recours. Ce point n'apparaissant plus litigieux, il ne sera pas examiné plus avant dans le présent arrêt (art. 385 al. 1 let. a CPP).</w:t>
      </w:r>
    </w:p>
    <w:p>
      <w:r>
        <w:rPr>
          <w:b/>
        </w:rPr>
        <w:t>E. 4</w:t>
      </w:r>
    </w:p>
    <w:p>
      <w:r>
        <w:t>Le recourant considère qu'il existe une prévention suffisante, contre les mis en cause, d'infraction à l'art. 158 CP. 4.1.1.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ATF 138 IV 86 consid. 4.1; ATF 137 IV 219 consid. 7). 4.1.2. 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 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 Le titulaire du droit de porter plainte doit démontrer le moment à partir duquel il a eu connaissance de l'infraction et de son auteur (L. MOREILLON / A. MACALUSO / N. QUELOZ / N. DONGOIS (éds), Commentaire romand, Code pénal I, art. 1-110 CP , 2 ème éd., Bâle 2021, n. 22 ad art. 31 et les références citées).</w:t>
      </w:r>
    </w:p>
    <w:p>
      <w:r>
        <w:rPr>
          <w:b/>
        </w:rPr>
        <w:t>E. 4.2</w:t>
      </w:r>
    </w:p>
    <w:p>
      <w:r>
        <w:t>L'art. 158 ch. 1 CP réprime le comportement de quiconque, en vertu de la loi, d'un mandat officiel ou d'un acte juridique, est tenu de gérer les intérêts pécuniaires d'autrui ou de veiller sur leur gestion et qui, en violation de ses devoirs, aura porté atteinte à ces intérêts ou aura permis qu'ils soient lésés. La peine sera aggravée si l'auteur a agi dans le dessein de se procurer ou de procurer à un tiers un enrichissement illégitime (ch. 3).</w:t>
      </w:r>
    </w:p>
    <w:p>
      <w:r>
        <w:rPr>
          <w:b/>
        </w:rPr>
        <w:t>E. 4.2.1</w:t>
      </w:r>
    </w:p>
    <w:p>
      <w:r>
        <w:t>L'art. 158 al. 3 CP dispose que la gestion déloyale commise au préjudice des proches ou des familiers n'est poursuivie que sur plainte. Les proches d'une personne sont son conjoint, son partenaire enregistré, ses parents en ligne directe, ses frères et sœurs germains, consanguins ou utérins ainsi que ses parents, frères et sœurs et enfants adoptifs (art. 110 al. 1 CP). Cette liste est exhaustive et doit faire l'objet d'une interprétation restrictive (cf. ATF 148 IV 256 consid. 3.1 et les références citées).</w:t>
      </w:r>
    </w:p>
    <w:p>
      <w:r>
        <w:rPr>
          <w:b/>
        </w:rPr>
        <w:t>E. 4.2.2</w:t>
      </w:r>
    </w:p>
    <w:p>
      <w:r>
        <w:t>L'infraction de gestion déloyale suppose la réalisation de quatre éléments constitutifs: il faut que l'auteur ait eu une position de gérant, qu'il ait violé une obligation lui incombant en cette qualité, qu'il en soit résulté un dommage et qu'il ait agi intentionnellement (cf. ATF 120 IV 190 consid. 2b; arrêt du Tribunal fédéral 6B_608/2020 du 4 décembre 2020 consid. 3.1). Selon la jurisprudence, revêt la qualité de gérant celui à qui il incombe, de fait ou formellement, la responsabilité d'administrer un complexe patrimonial non négligeable dans l'intérêt d'autrui (ATF 142 IV 346 consid. 3.2;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(ATF 142 IV 346 consid. 3.2; ATF 123 IV 17 consid. 3b; arrêt du Tribunal fédéral 6B_815/2020 du 22 décembre 2020 consid. 4.1). Le comportement délictueux visé à l'art. 158 CP n'est pas décrit dans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rapports juridiques qui lient le gérant au titulaire des intérêts pécuniaires qu'il administre, compte tenu des dispositions légales ou contractuelles applicables (arrêts du Tribunal fédéral 6B_223/2010 du 13 janvier 2011 consid. 3.3.2 et 6B_446/2010 du 14 janvier 2010 consid. 8.4.1). Pour qu'il y ait gestion déloyale, il ne suffit pas que l'auteur ait été gérant, ni qu'il ait violé une quelconque obligation de nature pécuniaire à l'endroit de la personne dont il gère tout ou partie de la patrimoine; le terme de gestion déloyale et la définition légale de l'infraction exigent que l'obligation qu'il a violée soit liée à la gestion confiée (ATF 123 IV 17 consid. 3c; ATF 120 IV 190 consid. 2b; ATF 118 IV 244 consid. 2b; arrêt du Tribunal fédéral 6B_310/2014 du 23 novembre 2015 consid. 3.1.1). L'infraction n'est consommée que s'il y a un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Un dommage temporaire ou provisoire est suffisant (ATF 122 IV 279 consid. 2a). Il n'est pas nécessaire que le dommage corresponde à l'enrichissement de l'auteur, ni qu'il soit chiffré; il suffit qu'il soit certain (arrêt du Tribunal fédéral 6B_787/2016 du 2 mai 2017 consid. 2.4). Enfin, l'infraction de gestion déloyale requiert l'intention, qui doit porter sur tous les éléments constitutifs. Le dol éventuel suffit, mais celui-ci doit être nettement et strictement caractérisé vu l'imprécision des éléments constitutifs objectifs de cette infraction (ATF 142 IV 346 consid. 3.2 et arrêt du Tribunal fédéral 6B_631/2022 du 2 mars 2023 consid. 3.1). 4.3.1. En l'espèce, sœur du recourant, B______ est une proche au sens de l'art. 110 al. 1 CP. La plainte pénale a été déposée le 9 mars 2023. Or il ressort du dossier que le recourant a eu connaissance des comptes 2015-2020 des sociétés – lesquels font l'objet de sa plainte – au plus tard le 10 octobre 2022, soit au jour de dépôt auprès de la Justice de paix du complément de sa requête, aux termes duquel il reproche à M e L______ d'avoir approuvé lesdits comptes, lors des assemblées générales de 2018 et de 2022, en violation des dispositions de l'arrêt de la Cour de justice du 20 février 2015. Dès lors, en tant qu'elle est dirigée contre sa sœur, la plainte du recourant est tardive (art. 31 CP). Face à un empêchement de procéder, une ordonnance de non entrée en matière s'imposait donc. Le recours sera dès lors rejeté sur ce point par substitution de motif. 4.3.2. Reste à savoir s'il existe une prévention suffisante à l'encontre de K______ et de I______, le recourant leur reprochant de ne pas avoir respecté la mesure de blocage prévue par l'arrêt de la Cour de justice du 20 février 2015, dans la mesure où les liquidités à disposition des sociétés immobilières n'étaient pas suffisantes. Force est de constater que le litige s'inscrit dans le contexte plus large du conflit successoral à propos des successions des feux C______ et D______ et – comme l'a relevé à juste titre le Ministère public dans l'ordonnance querellée – revêt un caractère exclusivement civil, les parties se livrant, de surcroit, à des méthodes de calcul divergentes sur les montants qui auraient dû être bloqués en mains de la Régie. Il convient en outre de relever à ce propos que le recourant s'est déjà prévalu, dans le cadre d'une action en nullité des décisions des assemblées générales des sociétés, du non-respect du dispositif de l'arrêt du 20 février 2015, la Cour de justice – puis le Tribunal fédéral – ayant conclu que rien ne permettait de retenir que tel avait été le cas. En tout état, il n'apparait pas – et le recourant n'offre pas de le prouver – que les mis en cause revêtaient la qualité de gérants nécessaire à l'application de l'art. 158 CP, et encore moins, qu'ils aient violé une obligation liée à la gestion confiée. En effet, K______, en tant qu'administrateur des F______ SA et SI E______ SA, était chargé de veiller sur les affaires de ces dernières et non sur la situation de leurs actionnaires. Il en va de même de I______, dans la mesure où celle-ci est liée par un mandat de gestion avec les sociétés immobilières et non pas avec l'hoirie de C______. Si le recourant estimait que les mis en cause ne se pliaient pas aux injonctions de la Cour de justice – ce qui comme relevé ne constitue pas une obligation inhérente à leur qualité de gérants – il leur incombait de déposer une requête d'exécution au civil, cas échéant en concluant à ce que l'arrêt du 20 février 2015 soit assorti de la menace prévue à l'art. 292 CP. Enfin, le recourant est certes légitimé à se plaindre d'un dommage causé à l'hoirie. Cependant, dans la mesure où il ne conteste pas que les liquidités à disposition des sociétés immobilières étaient suffisantes pour couvrir la part successorale lui revenant in fine , on ne voit pas – et le recourant ne l'étaye nullement – en quoi l'hoirie aurait subi un dommage, étant précisé que sa sœur est le seul autre membre de la communauté héréditaire. Il résulte de ce qui précède que les éléments constitutifs de l'infraction de gestion déloyale ne sont pas réalisés.</w:t>
      </w:r>
    </w:p>
    <w:p>
      <w:r>
        <w:rPr>
          <w:b/>
        </w:rPr>
        <w:t>E. 5</w:t>
      </w:r>
    </w:p>
    <w:p>
      <w:r>
        <w:t>Justifiée, l'ordonnance querellée sera donc confirmée.</w:t>
      </w:r>
    </w:p>
    <w:p>
      <w:r>
        <w:rPr>
          <w:b/>
        </w:rPr>
        <w:t>E. 6</w:t>
      </w:r>
    </w:p>
    <w:p>
      <w:r>
        <w:t>Le recourant, qui succombe, supportera, les frais envers l'État, arrêtés à CHF 2'500.- (art. 428 al. 1 CPP et 13 al. 1 du Règlement fixant le tarif des frais en matière pénale, RTFMP; E 4 10.03).</w:t>
      </w:r>
    </w:p>
    <w:p>
      <w:r>
        <w:rPr>
          <w:b/>
        </w:rPr>
        <w:t>E. 7</w:t>
      </w:r>
    </w:p>
    <w:p>
      <w:r>
        <w:t>Corrélativement, il n'y a pas lieu de lui octroyer une indemnité pour ses frais d'avocat (art. 433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