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P/5545/2015 vom 20. April 2016</w:t>
      </w:r>
    </w:p>
    <w:p>
      <w:r>
        <w:t>GE Cour de justice, 2016-04-20, FR</w:t>
      </w:r>
    </w:p>
    <w:p>
      <w:r>
        <w:rPr>
          <w:b/>
        </w:rPr>
        <w:t xml:space="preserve">Quelle: </w:t>
      </w:r>
      <w:r>
        <w:t>https://mcp.opencaselaw.ch/entscheid/ge_gerichte_P_5545_2015</w:t>
      </w:r>
    </w:p>
    <w:p>
      <w:r>
        <w:t>FR: GE_GERICHTE P/5545/2015 du 20 avril 2016</w:t>
      </w:r>
    </w:p>
    <w:p>
      <w:r>
        <w:t>IT: GE_GERICHTE P/5545/2015 del 20 aprile 2016</w:t>
      </w:r>
    </w:p>
    <w:p>
      <w:pPr>
        <w:pStyle w:val="Heading2"/>
      </w:pPr>
      <w:r>
        <w:t>Regeste</w:t>
      </w:r>
    </w:p>
    <w:p>
      <w:r>
        <w:t>IN DUBIO PRO DURIORE; VOL(DROIT PÉNAL); PEINE COMPLÉMENTAIRE; PEINE; PEINE PRIVATIVE DE LIBERTÉ; SURSIS À L'EXÉCUTION DE LA PEINE; CONDUITE DU PROCÈS; ENQUÊTE PÉNALE; PRONOSTIC | CP.139; CP.172ter.1; CP.41.1; CP.42.1; CP.49.2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139 ch. 1 CP punit d'une peine privative de liberté de cinq ans au plus ou d'une peine pécuniaire, celui qui, pour se procurer ou procurer à un tiers un enrichissement illégitime, aura soustrait une chose mobilière appartenant à autrui dans le but de se l'approprier. Selon l'art. 172ter al. 1 CP, applicable aux infractions contre le patrimoine, si l'acte ne visait qu'un élément patrimonial de faible valeur ou un dommage de moindre importance, l'auteur sera, sur plainte, puni d'une amende. C'est l'intention de l'auteur qui est déterminante, et non le résultat obtenu. Lorsque l'auteur n'envisage d'emblée de ne se procurer qu'un élément patrimonial de faible valeur ou de ne causer qu'un dommage de moindre importance, l'art. 172ter CP est applicable. Celui qui commet des vols à la tire est généralement disposé à s'emparer de tout ce qui tombe entre ses mains. Il espère donc obtenir le butin le plus important possible, raison pour laquelle il ne peut pas être mis au bénéfice de l'art. 172ter, même si le butin finalement obtenu est inférieur à CHF 300.-. Le dol éventuel suffit (ATF 123 IV 155 consid. 1a ; arrêt du Tribunal fédéral 6B_316/2009 du 21 juillet 2009 consid. 3.3).</w:t>
      </w:r>
    </w:p>
    <w:p>
      <w:r>
        <w:rPr>
          <w:b/>
        </w:rPr>
        <w:t>E. 3</w:t>
      </w:r>
    </w:p>
    <w:p>
      <w:r>
        <w:t>En l'espèce, l'appelant conteste être l'auteur du vol du sac qui se trouvait dans le véhicule de la plaignante, mais non l'infraction à la LEtr, dont les conditions sont au demeurant manifestement réalisées. Contrairement à ce qu'il soutient, le rapport de police du 30 septembre 2014 ne saurait être écarté au seul motif qu'il indique que l'analyse des empreintes aurait été effectuée "sur les lieux", alors que l'inspectrice F______ se souvient d'y avoir procédé à l'Hôtel de police, au boulevard Carl-Vogt. Cet élément formel et accessoire, pris seul, n'est pas déterminant. Le rapport, complet et précis, ne nécessite en outre aucun complément d'instruction. Ainsi, l'analyse des traces papillaires permet de retenir que l'appelant a touché la vitre arrière droite du véhicule de la plaignante, avec la paume de sa main. Ses doigts ont également touché l'intérieur de la vitre, dans le prolongement de la trace laissée par sa paume, puis en d'autres endroits. Ces éléments permettent de conclure que l'appelant a introduit son bras dans l'habitacle du véhicule, laissant à cette occasion les traces "glissées" mises en évidence par la police sur le côté intérieur de la vitre. La trace de sa paume implique qu'il a saisi la vitre, par le haut, avec sa main droite, que cela soit afin d'essayer de la baisser ou pour introduire son bras gauche dans l'habitacle, ce qui importe peu. Il n'est pas relevant de savoir si la vitre de la plaignante était déjà entrouverte ou non, ni si l'appelant a pu extraire le sac directement par la vitre ou s'il a d'abord dû ouvrir la portière afin de dérober son butin. En effet, dans toutes ces hypothèses, les éléments constitutifs de l'infraction de vol sont réalisés, l'appelant s'étant enrichi en soustrayant le sac qui se trouvait dans la voiture de la plaignante. Contrairement à ce que plaide l'appelant, ce n'est pas parce qu'aucune empreinte n'a été mise en évidence sur la portière du véhicule qu'il faut en conclure qu'il ne l'a pas ouverte. Tout d'abord, le rapport de police ne précise pas si l'analyse a également porté sur cette partie du véhicule de la plaignante. Il se peut ainsi que les empreintes de l'appelant se soient trouvées sur la portière mais qu'elles n'aient simplement pas été analysées. Il se peut également que l'appelant l'ait ouverte sans y laisser d'empreinte, par exemple en couvrant sa main au moyen de ses vêtements, ou plus simplement par chance. Enfin, il n'est pas exclu que l'appelant ait réussi à extraire le sac par la vitre abaissée, cas échéant en procédant par étapes. Si la plaignante écarte cette hypothèse, l'inspectrice F______ n'avait, quant à elle, pas été surprise par la taille de l'espace dont l'appelant aurait profité, ce qui pourrait expliquer qu'elle n'ait, selon la plaignante du moins, pas prélevé d'empreintes sur la portière du véhicule. Aucun élément de la procédure ne permet d'expliquer la présence des empreintes de l'appelant sur cette vitre, surtout à l'intérieur de celle-ci. Lui-même n'a d'ailleurs fourni aucune explication sur ce point, étant précisé que ses déclarations ont été, de manière générale, peu fiables. Elles ont fluctué quant à l'année de son départ pour l'Espagne. Ses explications sur les circonstances dans lesquelles il aurait fourni l'identité algérienne G______ sont peu crédibles, ce d'autant qu'aucune plainte n'a été déposée pour les faits qu'il décrit avoir subis. La CPAR dispose ainsi d'un faisceau d'indices lui permettant de retenir, au-delà de tout doute raisonnable, que l'appelant est l'auteur du vol reproché. L'acte n'avait pas pour objet un élément patrimonial de peu d'importance, car il visait tout le contenu du sac, que l'appelant espérait nécessairement le plus important possible, de sorte que l'art. 172ter al. 1 CP ne s'applique pas. Par conséquent, le verdict de culpabilité du Tribunal de police sera confirmé.</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197 consid. 4 ; arrêts du Tribunal fédéral 6B_714/2015 du 28 septembre 2015 consid. 1.1 et 6B_894/2014 du 25 mars 2015 consid. 2.1). Il convient donc d'examiner en premier lieu si les conditions du sursis sont réunies ou non, selon les critères posés par l'art. 42 CP (ATF 135 IV 180 consid. 2.1). Lorsque le pronostic est défavorable et que, par conséquent, un sursis est exclu, il convient de déterminer si une peine pécuniaire, respectivement un travail d'intérêt général, peuvent être exécutés.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n'entre pas en considération (ATF 134 IV 60 consid. 3.3 ; arrêts du Tribunal fédéral 6B_787/2014 du 27 novembre 2014 consid. 1.3.2 et 6B_262/2012 du 4 octobre 2012 consid. 1.3.2).</w:t>
      </w:r>
    </w:p>
    <w:p>
      <w:r>
        <w:rPr>
          <w:b/>
        </w:rPr>
        <w:t>E. 3.3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 SJ 2008 I p. 277 consid. 2.1).</w:t>
      </w:r>
    </w:p>
    <w:p>
      <w:r>
        <w:rPr>
          <w:b/>
        </w:rPr>
        <w:t>E. 3.4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consid. 4.3.1).</w:t>
      </w:r>
    </w:p>
    <w:p>
      <w:r>
        <w:rPr>
          <w:b/>
        </w:rPr>
        <w:t>E. 3.5</w:t>
      </w:r>
    </w:p>
    <w:p>
      <w:r>
        <w:t>En l'espèce, l'appelant ne conteste la peine que dans la mesure où il plaide l'acquittement du chef de vol, sollicitant l'octroi du sursis. Or, les conditions du sursis ne sont pas réalisées au vu des antécédents de l'appelant, qui sont spécifiques. Le pronostic quant à son comportement futur est défavorable, ainsi qu'en témoigne la révocation du sursis antérieur que l'appelant ne conteste en soi pas. Au demeurant, les conditions pour le prononcé d'une courte peine privative de liberté sont réunies. Compte tenu de la situation administrative de l'appelant, le prononcé d'un travail d'intérêt général n'entre pas en considération, cette sanction apparaissant d'emblée inadaptée. Il en va de même du prononcé d'une peine pécuniaire, les précédentes condamnations à ce type de peine n'ayant pas eu l'effet dissuasif escompté. Quant à la quotité de la peine, elle a été fixée de manière adéquate par le Tribunal de police, dont la CPAR fait sienne la motivation, au vu de la faute de l'appelant, qui n'est pas légère, de sa mauvaise collaboration à la procédure, de ses antécédents, du concours d'infractions et de ses mobiles. L'appel doit donc également être rejeté sur ce point, la peine prononcée par le premier juge consacrant une correcte application du droit et le sursis ne pouvant d'ailleurs pas être octroyé en présence d'une peine inférieure à six mois (art. 42 CP). Enfin, le prononcé d'une peine complémentaire en raison de la condamnation du ___ janvier 2016 est exclu s'agissant d'une peine pécuniaire, soit une sanction d'un genre différent de la peine privative de liberté confirmée dans le cadre de la présente procédure d'appel.</w:t>
      </w:r>
    </w:p>
    <w:p>
      <w:r>
        <w:rPr>
          <w:b/>
        </w:rPr>
        <w:t>E. 4</w:t>
      </w:r>
    </w:p>
    <w:p>
      <w:r>
        <w:t>L'appelant, qui succombe, supportera les frais de la procédure envers l'État, qui comprennent un émolument de jugement de CHF 2'000.- (art. 428 al. 1 CPP et art. 14 al. 1 let. e du Règlement fixant le tarif des frais en matière pénale [RTFMP ; rs/GE E4 10.03]).</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19 novembre 2015, date de l'annonce d'appel.</w:t>
      </w:r>
    </w:p>
    <w:p>
      <w:r>
        <w:rPr>
          <w:b/>
        </w:rPr>
        <w:t>E. 5.2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5.3</w:t>
      </w:r>
    </w:p>
    <w:p>
      <w:r>
        <w:t>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et AARP/300/2015 du 16 juillet 2015).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 AARP/304/2015 du 16 juillet 2015) ou la déclaration d'appel (ordonnance de la Cour des plaintes du Tribunal pénal fédéral BB.2014.51 du 21 novembre 2014 consid. 2.1 ; décisions de la Cour des plaintes du Tribunal pénal fédéral BB.2013.165 du 24 janvier 2014 consid. 4.1.3 et BB.2013.127 du 4 décembre 2013 consid. 4.2). En ce qui concerne les réquisitions de preuve, le simple établissement d'une liste de témoins est en règle générale considéré comme tombant sous le coup du forfait ( AARP/146/2014 du 31 mars 2014), de même que des réquisitions pas ou peu étayées, alors que celles nécessitant une activité plus importante, eu égard à leur nombre ou au dossier pourraient justifier une indemnisation propre (indemnisation séparée admise : AARP/288/2015 du 14 avril 2015 consid. 5.2.1 ; refusée : AARP/433/2014 du 7 octobre 2014).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w:t>
      </w:r>
    </w:p>
    <w:p>
      <w:r>
        <w:rPr>
          <w:b/>
        </w:rPr>
        <w:t>E. 5.4</w:t>
      </w:r>
    </w:p>
    <w:p>
      <w:r>
        <w:t>En l'espèce, M e B______ a été désigné défenseur d'office de A______ par ordonnance du Ministère public du 28 mai 2015. À la lecture des postes de l'état de frais produit, il apparaît que l'activité suivante n'était pas nécessaire : -          deux heures d'analyse du dossier et de rédaction de l'annonce d'appel, dite activité étant comprise dans le forfait pour l'activité diverse ;![endif]&gt;![if&gt; -          une heure et 30 minutes d'analyse du dossier et du jugement du Tribunal de police, qui n'était plus nécessaire au stade de l'appel au vu de la complexité relative de l'affaire, la prise en connaissance d'actes de procédure étant en outre comprise dans le forfait pour l'activité diverse ;![endif]&gt;![if&gt; -          45 minutes de recherches juridiques et de rédaction de la déclaration d'appel, cette activité étant comprise dans le forfait et le dossier ne nécessitant pas de recherches particulières, 30 minutes pour la motivation des réquisitions de preuve de l'appelant étant en revanche admises ;![endif]&gt;![if&gt; -          deux heures et 30 minutes de préparation de l'audience d'appel, jugée excessive au vu de la contestation limitée du jugement et de la connaissance préalable du dossier par le conseil, deux heures de préparation paraissant amplement suffisantes.![endif]&gt;![if&gt; Au surplus, l'activité exercée dans le cadre de la présente procédure est en adéquation avec la nature, l'importance et la difficulté de la cause. Par conséquent, son état de frais est admis, sous réserve des modifications qui précèdent, à concurrence de 15 heures, auxquelles il convient d'ajouter la durée de l'audience d'appel, d'une heure, déplacements compris, pour un total intermédiaire de CHF 3'200.-. L'indemnisation requise sera ainsi accordée à hauteur de CHF 3'520.-, comprenant le forfait pour l'activité diverse à 10%, soit CHF 320.-, compte tenu de l'activité déployée jusqu'en appel pour plus de 30 heures, TVA non comprise puisque M e B______ n'y est pas assujetti.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