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P/5543/2011 vom 1. März 2012</w:t>
      </w:r>
    </w:p>
    <w:p>
      <w:r>
        <w:t>GE Cour de justice, 2012-03-01, FR</w:t>
      </w:r>
    </w:p>
    <w:p>
      <w:r>
        <w:rPr>
          <w:b/>
        </w:rPr>
        <w:t xml:space="preserve">Quelle: </w:t>
      </w:r>
      <w:r>
        <w:t>https://mcp.opencaselaw.ch/entscheid/ge_gerichte_P_5543_2011</w:t>
      </w:r>
    </w:p>
    <w:p>
      <w:r>
        <w:t>FR: GE_GERICHTE P/5543/2011 du 1 mars 2012</w:t>
      </w:r>
    </w:p>
    <w:p>
      <w:r>
        <w:t>IT: GE_GERICHTE P/5543/2011 del 1 marzo 2012</w:t>
      </w:r>
    </w:p>
    <w:p>
      <w:pPr>
        <w:pStyle w:val="Heading2"/>
      </w:pPr>
      <w:r>
        <w:t>Regeste</w:t>
      </w:r>
    </w:p>
    <w:p>
      <w:r>
        <w:t>; MEURTRE ; TENTATIVE(DROIT PÉNAL) ; LÉGITIME DÉFENSE | CP.111; CP.22; CP.16; CP.15</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les actes d’appel (art. 404 al. 1 CPP).</w:t>
      </w:r>
    </w:p>
    <w:p>
      <w:r>
        <w:rPr>
          <w:b/>
        </w:rPr>
        <w:t>E. 2</w:t>
      </w:r>
    </w:p>
    <w:p>
      <w:r>
        <w:t>2.1.1. L’art. 111 CP réprime le comportement de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6B_355/2011 du 23 septembre 2011 consid. 4.2.1).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 du Tribunal fédéral 6B_355/2011 du 23 septembre 2011 consid. 4.2.1).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Cette interprétation raisonnable doit prendre en compte le degré de probabilité de la survenance du résultat de l’infraction reprochée, tel qu’il apparaît à la lumière des circonstances et de l’expérience de la vie (ATF 133 IV 1 consid. 4.6 p. 8). Selon la jurisprudence, il y a tentative (art. 22 CP) lorsque l’auteur a réalisé tous les éléments subjectifs de l’infraction et manifesté sa décision de la commettre, alors que les éléments objectifs font, en tout ou en partie, défaut (ATF 131 IV 100 consid. 7.2.1 p. 103 ; ATF 128 IV 18 consid. 3b p. 21). La jurisprudence a affirmé à plusieurs reprises que l’équivalence des deux formes de dol - direct et éventuel - s’appliquait également à la tentative (ATF 137 IV 133 consid. 1.4.2 p. 115 ; ATF 122 IV 246 consid. 3a p. 246). 2.1.2.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arrêt du Tribunal fédéral 6B_926/2009 du 15 décembre 2009 consid. 3.2). Cette condition n’est pas réalisée lorsque l’attaque a cessé ou qu’il n’y a pas encore lieu de s’y attendre (ATF 93 IV 81 p. 83). Une attaque n’est cependant pas achevée aussi longtemps que le risque d’une nouvelle atteinte ou d’une aggravation de celle-ci par l’assaillant reste imminent (ATF 102 IV 1 consid. 2b p. 4s). S’agissant en particulier de la menace d’une attaque imminente contre la vie ou l’intégrité corporelle, celui qui est visé n’a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p. 83s). Par ailleurs, l’acte de celui qui est attaqué ou menacé de l’être doit tendre à la défense : un comportement visant à se venger ou à punir ne relève pas de la légitime défense, pas davantage qu’un comportement qui tend à prévenir une attaque, certes possible, mais encore incertaine (arrêt du Tribunal fédéral 6B_926/2009 du 15 décembre 2009 consid. 3.2). La défense doit apparaître proportionnée au regard de l’ensemble des circonstances. Doivent être examinés la gravité de l’attaque, les biens juridiques menacés par celle-ci et par les moyens de défense, la nature de ces derniers ainsi que l’usage concret qui en a été fait. Les biens juridiquement protégés de part et d’autre doivent également être mis en balance. Encore faut-il que le résultat de cette pesée des dangers en présence soit reconnaissable sans peine par celui qui veut repousser l’attaque, l’expérience enseignant qu’il doit réagir rapidement (ATF 107 IV 12 consid. 3 p. 15 ; ATF 102 IV 65 consid. 2a p. 68). Si celui qui repousse une attaque a excédé les bornes de la légitime défense, le juge atténue la peine (art. 16 al. 1 CP). L’auteur n’encourt toutefois aucune peine si cet excès provient d’un état excusable d’excitation ou de saisissement causé par l’attaque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(arrêt du Tribunal fédéral 6B_65/2011 du 8 septembre 2011 consid. 3.1).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édition, Zurich 2011, n. 555, p. 189). 2.2.1. Il est établi que l’appelant X______ a poignardé A______ au niveau du thorax, ce qui résulte tant de ses propres déclarations que du constat de lésions traumatiques du Dr C______ et du témoignage du Dr E______. Il conteste toutefois avoir voulu attenter à la vie de sa victime, qui n’a pas été concrètement mise en danger. Il ressort du dossier que le prévenu a agressé A______ à l’aide d’un couteau pourvu d’une lame de 16 cm de long, le frappant à une reprise au thorax, la lame ayant traversé ses habits, puis la peau, la graisse, le diaphragme et la zone abdominale. Il a agi avec détermination, enfonçant de 13 cm le couteau dans le corps de sa victime. La probabilité de la survenance du résultat était particulièrement élevée, dès lors qu’il l’a frappée à la poitrine, soit un endroit du corps abritant des organes vitaux, avec une lame longue et acérée. Une blessure susceptible d’entraîner la mort ne pouvait apparaître que comme très vraisemblable, ce dont tout citoyen ordinaire devait être conscient. L’appelant X______ a ainsi pris le risque de porter atteinte aux organes vitaux de la victime, ce dont il s’est accommodé. En outre, il a immédiatement quitté les lieux sans s’enquérir de l’état de santé de la victime, ce qui constitue un indice corroboratif tendant à confirmer qu’il n’était pas surpris ou ébranlé par l’acte qu’il venait de commettre et qu’il avait envisagé les conséquences de son geste, les ayant acceptées au cas où elles se produiraient (cf. arrêt du Tribunal fédéral 6B_109/2009 du 9 avril 2009 consid. 2.3.2). Que les blessures infligées n’aient en définitive pas concrètement mis en danger la vie d’A______ n’est ainsi en soi pas décisif, pas davantage que l’appelant X______ n’ait pas souhaité la mort de sa victime, le dol éventuel étant réalisé dès que l’auteur s’accommode du résultat pour le cas où il se produirait, même s’il ne le souhaite pas (cf. arrêt du Tribunal fédéral 6B_241/2011 du 23 juin 2011 consid. 2.3). Dans ces circonstances, il convient d’admettre que l’appelant X______ s’est au moins nécessairement accommodé du risque de causer la mort de sa victime. 2.2.2. L’appelant X______ allègue que le coup de couteau infligé à A______ l’était en réaction à la bagarre intervenue peu avant et à une nouvelle attaque imminente de ce dernier. Invoquant la thèse de la légitime défense, l’appelant X______ doit au moins la rendre vraisemblable. Bien qu’il ait constamment affirmé avoir eu peur d’A______, s’emparant d’un couteau pour se prémunir d’une nouvelle agression, ses déclarations concernant le déroulement des faits sont entachées de contradictions et n’apparaissent ainsi pas crédibles. Après avoir indiqué à la police et devant le Ministère public qu’à son retour des toilettes, A______ s’était approché de lui, s’empalant sur le couteau qu’il tenait à la main, le bras tendu, il a nuancé ses propos devant le Tribunal correctionnel, affirmant avoir caché l’arme dans sa poche et ne se souvenant pas qui, de lui ou de sa victime, s’était approché, pas davantage que de son geste, avant de soutenir, devant la Chambre de céans, avoir glissé le couteau dans sa poche et s’être assis aux côtés de B______ et d’A______, lequel bougeait beaucoup et était agité. Du reste, il ne ressort pas du dossier que son alcoolémie, jugulée aux coups reçus sur le crâne, eût été de nature à altérer sa mémoire, le Dr D______ ayant souligné que ses souvenirs étaient assez précis. Les déclarations de l’appelant X______ sont contredites tant par celles d’A______ que par celles du témoin B______, qui concordent et sont demeurées constantes durant la procédure. Le fait que ce dernier soit revenu sur sa première déposition à la police ne saurait ôter toute crédibilité à ses déclarations ultérieures, le témoin ayant expliqué qu’il n’avait pas eu l’intention d’incriminer X______, le connaissant depuis plusieurs années. Au demeurant, rien ne permet d’affirmer qu’A______ et B______ se soient entendus sur une version des faits à donner, aucun d’eux n’ayant de bénéfice secondaire à retirer d’un faux témoignage. Ainsi, il ressort de leurs déclarations qu’au retour de l’appelant X______ des toilettes, celui-ci les avait rejoints sur la terrasse. B______ lui avait demandé de partir, le prévenu ayant insisté pour boire encore une bière. Tant A______ que B______ ont soutenu que plusieurs minutes, au moins une dizaine, s’étaient écoulées entre le retour de X______, qui avait déjà passé une dizaine de minutes à l’intérieur du bâtiment, et le coup de couteau. Le calme était revenu et personne ne semblait énervé, pas même X______, de sorte que tous les trois, assis, avaient trinqué. Le prévenu s’était ensuite précipité sur A______. Du reste, aucun d’eux n’a indiqué l’avoir vu muni d’un couteau à un quelconque moment de la journée. Ces déclarations sont compatibles avec les preuves matérielles figurant au dossier. Ainsi, il résulte tant du constat de lésions traumatiques du Dr C______ que de la déposition du Dr E______ que la lame était dirigée vers le bas, le coup ayant été porté au thorax et la blessure se situant à l’abdomen. La lame ne pouvait ainsi prendre une telle direction descendante si X______ et A______ s’étaient tous deux tenus debout ou si le premier avait été assis et le second debout. De plus, selon le constat de lésions traumatiques du Dr C______, A______ n’avait présenté aucune lésion de défense, ce qui laissait supposer qu’il avait été attaqué par surprise, alors qu’il ne s’y attendait pas. Au vu de ces éléments, il convient d’admettre qu’au moment où X______ a poignardé A______, ce dernier était assis et ne présentait plus aucune menace pour le prévenu, le calme étant revenu entre les parties et plusieurs minutes, au moins dix, s’étaient écoulées entre le retour de l’appelant X______ et le coup de couteau asséné. En agissant de la sorte, ce dernier ne réagissait à aucune attaque de la part d’A______, le fait justificatif de la légitime défense ne pouvant être retenu en sa faveur. Il n’y a ainsi pas lieu d’examiner si les conditions de l’art. 16 CP sont réalisées. Le jugement querellé sera par conséquent confirmé dans la mesure où il reconnaît l’appelant X______ coupable de tentative de meurtre (art. 22 et 111 CP), au moins par dol éventuel (art. 12 CP). L’infraction de lésions corporelles étant absorbée par la tentative de meurtre (cf. ATF 137 IV 113 consid. 1.5 p. 117), la requalification juridique demandée devient sans objet.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3.2</w:t>
      </w:r>
    </w:p>
    <w:p>
      <w:r>
        <w:t>La faute de l’appelant X______ est lourde. Il s’en est pris à la vie d’A______, soit un bien juridique particulièrement important. Il a fait preuve de détermination et d’acharnement, frappant sa victime par surprise au moyen d’un couteau à désosser pourvu d’une lame de 16 cm de long, enfonçant celle-ci presque entièrement dans son thorax. Ce n’est que par chance qu’il n’a pas obtenu de résultat mortel. Son mobile est vil et relève de la colère ainsi que d’une volonté vengeresse, alors même que sa victime était décidée à tirer un trait sur la bagarre qui les avait opposés. Préférant assouvir sa vengeance, il a refusé de quitter les lieux, faisant croire à sa victime qu’il s’était calmé, cachant en réalité un couteau sur lui. S’il est vrai que l’infraction qui lui est reprochée n’a été que tentée, son acte n’en est pas pour autant attribuable à un désistement. Il n’a cessé de minimiser ses agissements, se retranchant derrière son alcoolisation, puis les coups qui lui avaient été portés à la tête, se mettant dans une position de victime. Sa collaboration a été médiocre : même confronté aux preuves matérielles recueillies contre lui, il a continué à se réfugier dans le déni, fournissant des versions contradictoires et persistant à alléguer avoir commis un acte de légitime défense. Sa prise de conscience n’est dès lors que partielle. A l’instar des premiers juges, il sera retenu en sa faveur qu’il s’est rendu spontanément à la police quelques jours après les faits. Il n’en demeure pas moins qu’il ne s’est pas préoccupé de l’état de santé d’A______ après l’avoir poignardé, le laissant au sol se vider de son sang et préférant prendre la fuite. Bien qu’ayant allégué éprouver du chagrin pour sa victime, il paraît davantage préoccupé par son incarcération et par les conséquences de sa détention pour sa propre famille. Par ailleurs, il ne peut faire valoir aucune circonstance atténuante au sens de l’art. 48 CP. Au regard de l’ensemble de ces éléments, la peine privative de liberté de quatre ans et six mois fixée par les premiers juges apparaît adéquate. Le jugement entrepris sera dès lors confirmé sur ce point également. Il n’y a ainsi pas lieu d’examiner si les conditions du sursis son réunies (cf. art. 42 et 43 CP).</w:t>
      </w:r>
    </w:p>
    <w:p>
      <w:r>
        <w:rPr>
          <w:b/>
        </w:rPr>
        <w:t>E. 4</w:t>
      </w:r>
    </w:p>
    <w:p>
      <w:r>
        <w:t>L’appelant A______ conclut à la condamnation de X______ au paiement d’une indemnité de CHF 20'000.- à titre de réparation du tort moral.</w:t>
      </w:r>
    </w:p>
    <w:p>
      <w:r>
        <w:rPr>
          <w:b/>
        </w:rPr>
        <w:t>E. 4.1</w:t>
      </w:r>
    </w:p>
    <w:p>
      <w:r>
        <w:t>La partie plaignante peut faire valoir ses conclusions civiles déduites de l’infraction par adhésion à la procédure (art. 122 al. 1 CPP), l’autorité judiciaire saisie de la cause pénale jugeant les conclusions civiles indépendamment de leur valeur litigieuse (art. 124 al. 1 CPP). Aux termes de l’art. 47 du code des obligations du 30 mars 1911 (CO ; RS 220),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p. 119 ;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p. 704s). Le juge en proportionnera le montant à la gravité de l’atteinte subie et évitera que la somme accordée n’apparaisse dérisoire à la victime (ATF 125 III 269 consid. 2a p. 273 ; arrêt du Tribunal fédéral 4A_266/2011 du 19 août 2011 consid. 2.1.4).</w:t>
      </w:r>
    </w:p>
    <w:p>
      <w:r>
        <w:rPr>
          <w:b/>
        </w:rPr>
        <w:t>E. 4.2</w:t>
      </w:r>
    </w:p>
    <w:p>
      <w:r>
        <w:t>Au regard de l’atteinte à l’intégrité corporelle subie par l’appelant A______, le seuil de souffrance psychologique dépasse le seuil en-deçà duquel aucune indemnité n’est due, de sorte que le principe d’une indemnisation pour le tort moral enduré lui est acquis. Il reste à en déterminer le montant. L’appelant A______ considère que la somme de CHF 5'000.- allouée par les premiers juges est insuffisante au regard des souffrances endurées. Il n’est pas contesté que l’appelant A______ a subi une blessure au thorax ayant entraîné une cicatrice, à la vision de laquelle il est confronté et qui lui rappelle avoir reçu un coup de couteau. Il n’en demeure pas moins que cette cicatrice est située sur le corps et n’est ainsi pas directement visible. En outre, rien n’indique que sa blessure ne lui permet pas de mener une vie normale. Au contraire, il a de son propre chef admis avoir repris son activité, auprès du même employeur, moins d’un mois après les faits. Bien qu’ayant allégué que sa blessure le faisait souffrir, il n’a étayé ses dires d’aucun certificat attestant d’un suivi médical, ni n’a prétendu suivre un traitement médicamenteux de nature à atténuer ses douleurs. Si l’existence d’un stress post-traumatique est plausible, il ne saurait être aussi important que l’appelant A______ le laisse entendre. Il n’a en effet consulté un spécialiste que près d’une année après les faits, de manière occasionnelle seulement. Il ne saurait par ailleurs justifier cette consultation tardive par la peur de perdre son travail, lui-même ayant indiqué avoir un employeur compréhensif. Enfin, d’éventuelles représailles de X______ sont peu plausibles, au regard du risque de récidive du prévenu, qui n’est pas élevé, comme l’a indiqué le Dr D______. Contrairement à ce qu’ont retenu les premiers juges, il n’apparaît pas que l’appelant A______ ait commis une faute concomitante permettant de réduire l’indemnité pour tort moral octroyée, dans la mesure où il n’existe pas de rapport de causalité adéquate entre la bagarre ayant éclaté entre les deux appelants et le coup de couteau infligé par la suite par X______ à A______. Il y a dès lors lieu d’augmenter l’indemnité allouée par les premiers juges en conséquence. Ainsi, un montant de CHF 8'000.- prend en compte de manière adéquate les souffrances endurées par l’appelant A______ et les éléments susmentionnés. Le jugement entrepris sera dès lors modifié sur ce point.</w:t>
      </w:r>
    </w:p>
    <w:p>
      <w:r>
        <w:rPr>
          <w:b/>
        </w:rPr>
        <w:t>E. 5</w:t>
      </w:r>
    </w:p>
    <w:p>
      <w:r>
        <w:t>La partie plaignante qui obtient gain de cause peut demander au prévenu une juste indemnité pour les dépenses obligatoires occasionnées par la procédure (art. 433 al. 1 CPP, applicable en appel par le renvoi de l’art. 436 al. 1 CPP). Cette indemnité ne peut être allouée que sur demande, à peine de péremption si elle n’est pas présentée et documentée avant la fin de la procédure (art. 433 al. 2 CPP). L’appelant A______ ayant partiellement obtenu gain de cause, il peut prétendre à la condamnation du prévenu au paiement de ses honoraires d’avocat. Le plaignant ne s’étant toutefois vu allouer qu’une partie de ses conclusions, le prévenu sera condamné à lui verser une juste indemnité à ce titre, correspondant à la moitié des honoraires pour la procédure d’appel, conformément à la facture produite d’un montant total de CHF 2'748.05.</w:t>
      </w:r>
    </w:p>
    <w:p>
      <w:r>
        <w:rPr>
          <w:b/>
        </w:rPr>
        <w:t>E. 6</w:t>
      </w:r>
    </w:p>
    <w:p>
      <w:r>
        <w:t>L’appelant X______, qui succombe intégralement, sera condamné aux trois quarts des frais de la procédure d’appel, tandis que l’appelant A______, qui n’obtient que partiellement gain de cause, sera condamné au quart des frais de la procédure d’appel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