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P/5541/2013 vom 21. März 2014</w:t>
      </w:r>
    </w:p>
    <w:p>
      <w:r>
        <w:t>GE Cour de justice, 2014-03-21, FR</w:t>
      </w:r>
    </w:p>
    <w:p>
      <w:r>
        <w:rPr>
          <w:b/>
        </w:rPr>
        <w:t xml:space="preserve">Quelle: </w:t>
      </w:r>
      <w:r>
        <w:t>https://mcp.opencaselaw.ch/entscheid/ge_gerichte_P_5541_2013</w:t>
      </w:r>
    </w:p>
    <w:p>
      <w:r>
        <w:t>FR: GE_GERICHTE P/5541/2013 du 21 mars 2014</w:t>
      </w:r>
    </w:p>
    <w:p>
      <w:r>
        <w:t>IT: GE_GERICHTE P/5541/2013 del 21 marzo 2014</w:t>
      </w:r>
    </w:p>
    <w:p>
      <w:pPr>
        <w:pStyle w:val="Heading2"/>
      </w:pPr>
      <w:r>
        <w:t>Regeste</w:t>
      </w:r>
    </w:p>
    <w:p>
      <w:r>
        <w:t>DOMMAGES À LA PROPRIÉTÉ(DROIT PÉNAL); VOL(DROIT PÉNAL); RECEL | CP.139; CP.144; CP.160</w:t>
      </w:r>
    </w:p>
    <w:p>
      <w:pPr>
        <w:pStyle w:val="Heading2"/>
      </w:pPr>
      <w:r>
        <w:t>Erwägungen</w:t>
      </w:r>
    </w:p>
    <w:p>
      <w:r>
        <w:rPr>
          <w:b/>
        </w:rPr>
        <w:t>E. 1</w:t>
      </w:r>
    </w:p>
    <w:p>
      <w:r>
        <w:t>L'appel est recevable pour avoir été interjeté et motivé selon la forme et dans les délais prescrits (art. 398 et 399 du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w:t>
      </w:r>
    </w:p>
    <w:p>
      <w:r>
        <w:rPr>
          <w:b/>
        </w:rPr>
        <w:t>E. 2.2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rPr>
          <w:b/>
        </w:rPr>
        <w:t>E. 2.3</w:t>
      </w:r>
    </w:p>
    <w:p>
      <w:r>
        <w:t>Selon l'art. 144 al. 1 CP, se rend coupable de dommage à la propriété celui qui aura endommagé, détruit ou mis hors d'usage une chose appartenant à autrui ou frappée d'un droit d'usage ou d'usufruit au bénéfice d'autrui et sera puni sur plainte. L'infraction doit porter sur un objet corporel, mobilier ou immobilier, appartenant à autrui.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p. 252 ; arrêt du Tribunal fédéral 6B_628/2008 du 13 janvier 2009 consid. 5.1.).</w:t>
      </w:r>
    </w:p>
    <w:p>
      <w:r>
        <w:rPr>
          <w:b/>
        </w:rPr>
        <w:t>E. 2.4</w:t>
      </w:r>
    </w:p>
    <w:p>
      <w:r>
        <w:t>À teneur de l'art. 139 ch. 1 CP, se rend coupable de vol celui qui, pour se procurer ou procurer à un tiers un enrichissement illégitime, aura soustrait une chose mobilière appartenant à autrui dans le but de se l'approprier.</w:t>
      </w:r>
    </w:p>
    <w:p>
      <w:r>
        <w:rPr>
          <w:b/>
        </w:rPr>
        <w:t>E. 2.5</w:t>
      </w:r>
    </w:p>
    <w:p>
      <w:r>
        <w:t>Se rend coupable de recel, celui qui acquiert, reçoit en don ou en gage, dissimule ou aide à négocier une chose dont il sait ou doit présumer qu'un tiers l'a obtenue au moyen d'une infraction contre le patrimoine (art. 160 ch. 1 al. 1 CP). Le recel est punissable parce qu'il a pour effet de perpétuer, au préjudice de la victime du premier délit, l'état de chose contraire au droit que cette infraction a créé (ATF 127 IV 79 consid. 2b p. 83).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p. 24). Sur le plan subjectif, l’infraction de recel est intentionnelle et le dol éventuel suffit. La formulation " dont il savait ou devait présumer " vise tant le dol direct que le dol éventuel. Il suffit donc que l'auteur sache ou doive présumer, respectivement qu'il accepte l'éventualité que la chose provienne d'une infraction contre le patrimoine (arrêt du Tribunal fédéral 6B_795/2007 du 4 mars 2008 consid. 3.1 ; B. CORBOZ, Les infractions en droit suisse , vol. I, 3 e éd. 2010, art. 160 CP, n. 48). Dans ces circonstances, il n’est pas nécessaire que l’auteur connaisse la nature exacte de l’infraction contre le patrimoine, ni les circonstances dans lesquelles elle s’est déroulée (ATF 119 IV 242 consid. 2b p. 247). Déterminer ce qu’une personne a su, envisagé, voulu ou accepté relève des constatations de faits. Est en revanche une question de droit, celle de savoir si, en cas d’absence d’aveux, les éléments extérieurs sont révélateurs du contenu de la volonté (ATF 125 IV 242 consid. 3c p. 252 ; arrêt du Tribunal fédéral 6B_795/2007 du 4 mars 2008 consid. 3.1.). Il en va ainsi lorsque les circonstances suggèrent le soupçon de la provenance délictueuse (ATF 129 IV 230 consid. 5.3.2 p. 236 s. et les références à ATF 119 IV 242 consid. 2b, p. 247, 101 IV 402 consid. 2 p. 405). 2.6.1 En l'espèce, c'est à tort que les premiers juges ont retenu que l'intimé et son comparse avaient été pris en flagrant délit de vol, alors qu'il est établi que la police n'est intervenue sur les lieux qu'après que la vitre a été brisée et la valise extraite de la voiture. Les conclusions que le tribunal a tirées de cette prémisse erronée ne peuvent être suivies. Ainsi, il ne peut être tiré argument de l'absence sur les lieux de la lampe de poche ou des outils ayant servi à briser la vitre vu l'intervention différée de la police, étant rappelé que l'enquête n'a pas porté sur ce point. Il est également sans pertinence que l'intimé n'ait pas été trouvé en possession des CHF 3'000.- dérobés dans le véhicule, ces faits n'étant pas visés par l'acte d'accusation. Cela peut, au demeurant, aisément s'expliquer par le fait que la voiture a été déplacée et mise dans un garage, avant que sa propriétaire ne constate la disparition de l'argent. Cela étant, il est établi que l'intimé et son comparse étaient les seules personnes présentes dans le square G______ au moment où ils ont été appréhendés par la police. Ils ont été vus en train de rôder autour des voitures garées, puis brisant la vitre d'une voiture foncée, en sortant une valise rouge, le témoin ayant en outre reconnu la veste beige portée par l'un d'eux, précisant qu'il portait un sac à dos noir, ce qui était bien le cas de l'intimé. Le seul fait que A______ ait été arrêté non pas dans le square, mais dans la rue d'accès – ce qui s'explique facilement vu l'intervention différée de la police -, ne permet pas d'exclure sa culpabilité, établie par les autres éléments. L'intimé sera donc reconnu coupable de vol et de dommage à la propriété et le jugement entrepris réformé sur ce point. 2.6.2 En ce qui concerne les objets retrouvés dans le sac à dos de l'intimé, il est invraisemblable qu'ils proviennent de débarras publics. En effet, la présence dans la carte mémoire de photographies, comme celle de cartes SIM dans les téléphones ainsi que le grattage de l'inscription sur un des bijoux constituent des indices probants que ces objets ont été dérobés, et non jetés par leurs légitimes propriétaires. L'infraction de recel est donc réalisée, l'intimé devant savoir en les acquérant qu'il en était ainsi, sauf en ce qui concerne le téléphone appartenant à F______ pour lequel persiste un doute qu'il a été volé. L'intimé sera reconnu coupable de recel, sous réserve du téléphone portable précité, et le jugement entrepris réformé sur ce point également.</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rPr>
          <w:b/>
        </w:rPr>
        <w:t>E. 3.2</w:t>
      </w:r>
    </w:p>
    <w:p>
      <w:r>
        <w:t>Le juge suspend en général l'exécution d'une peine (…) privative de liberté de six moins au moins et de deux an plus lorsqu'une peine ferme ne paraît pas nécessaire pour détourner l'auteur d'autres crimes ou délits. Si, durant les cinq ans qui précèdent l'infraction, l'auteur a été condamné à une peine privative de liberté ferme ou avec sursis de six mois au moins (…), il ne peut y avoir de sursis à l'exécution de la peine qu'en cas de circonstances particulièrement favorables (art. 42 al. 1 et 2 CP).</w:t>
      </w:r>
    </w:p>
    <w:p>
      <w:r>
        <w:rPr>
          <w:b/>
        </w:rPr>
        <w:t>E. 3.3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(ATF 137 IV 57 consid. 4.3.1). L'art. 49 al. 2 CP est généralement applicable lorsque le juge ne s'est pas prononcé simultanément sur l'ensemble des infractions, mais seulement sur certaines d'entre elles, parce qu'il n'était pas saisi des autres, du fait qu'elles n'avaient pas encore été découvertes. Cette disposition peut cependant aussi trouver application lorsque toutes les infractions n'ont pas été jugées en même temps pour d'autres motifs, notamment parce que le principe de la célérité commandait que certaines infractions, prêtes à être jugées, le soient sans attendre l'issue de l'instruction menée sur d'autres infractions. Le motif pour lequel toutes les infractions connues n'ont pas été jugées simultanément n'est donc pas déterminant pour l'application de l'art. 49 al. 2 CP. Il suffit, pour que l'accusé puisse bénéficier de cette disposition, que les conditions de cette dernière soient réalisées (arrêt du Tribunal fédéral 6B_640/2008 du 12 février 2009 consid. 3.2).</w:t>
      </w:r>
    </w:p>
    <w:p>
      <w:r>
        <w:rPr>
          <w:b/>
        </w:rPr>
        <w:t>E. 3.4</w:t>
      </w:r>
    </w:p>
    <w:p>
      <w:r>
        <w:t>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 cf. aussi art. 95 al. 3 à 5 CP). La nouvelle infraction doit revêtir une certaine gravité, à savoir être passible d'une peine privative de liberté ou d'une peine pécuniaire ( cf . art. 10 CP). En revanche, la perpétration d'une seule contravention ne permet pas la réintégration, à moins qu'elle ne corresponde simultanément à la violation d'une règle de conduite (art. 95 al. 5 CP ; cf . ATF 128 IV 3 consid. 4b p. 8 à propos de la révocation du sursis). La quotité de la peine qui frappe le crime ou le délit dans le cas concret est sans pertinence (arrêt du Tribunal fédéral 6B_663/2009 du 19 octobre 2009 consid. 1.2). Le nouveau droit a en effet abandonné la règle selon laquelle le détenu libéré conditionnellement était obligatoirement réintégré en cas de condamnation à une peine privative de liberté ferme de plus de trois mois (art. 38 ch. 4 aCP). Selon l'article 89 al. 2 CP, le juge peut renoncer à réintégrer dans l'établissement de détention le détenu libéré conditionnellement ayant commis un nouveau crime ou délit, s'il n'y a pas lieu de craindre que celui-ci commette d'autres infractions. Selon le Message concernant la modification du Code pénal suisse (dispositions générales, entrée en vigueur et application du Code pénal) et du Code pénal militaire ainsi qu'une loi régissant la condition pénale des mineurs du 21 septembre 1998 ; FF 1998 1787), l'échec de la mise à l'épreuve au sens de l'article 89 al. 2 CP suppose la commission d'un crime ou d'un délit, laissant présager que le détenu libéré conditionnellement ne s'en tiendrait pas là. Un tribunal devait décider de la réintégration en procédant à une « projection comportementale dans l'avenir », excluant une « infraction accidentelle » comme indice d'échec (FF 1998 1929). Pour la doctrine, la commission d'un nouveau crime ou d'un nouveau délit ne constitue qu'un des facteurs à considérer, le pronostic quant à la capacité de l'intéressé à vivre de manière conforme à la loi dans le futur devant à nouveau être établi (G. STRATENWERTH, Schweizerisches Strafrecht, Allgemeiner Teil II , 2 e éd., Berne 2006, § 5 n. 95 p. 164). Il en va de même des auteurs du Commentaire bâlois (M. NIGGLI / H. WIPRÄCHTIGER, Basler Kommentar Strafrecht I : Art. 1-110 StGB, Jugendstrafgesetz , 2 e éd., Bâle 2007, n. 3 ad art. 89) qui attendent du juge un pronostic quant à la signification des crimes ou des délits commis pendant le délai d'épreuve, fondé sur la notion de prévention spéciale qui prévaut en matière de libération conditionnelle. Par sa nature même, le pronostic à émettre ne saurait être tout à fait sûr ; il doit suffire de pouvoir raisonnablement conjecturer que le détenu ne commettra pas de nouvelles infractions (arrêt du Tribunal fédéral 6B_303/2007 du 6 décembre 2007 consid. 6 ; ATF 98 Ib 106 consid. 1b p. 107).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(arrêts du Tribunal fédéral 6B_663/2009 du 19 octobre 2009 consid. 1.2 et 6B_303/2007 du 6 décembre 2007 consid. 6). 3.5.1 En l'espèce, la faute de l'intimé est importante. Il a agi par appât du gain en s'attaquant sans scrupule aux biens d'autrui. Son mobile est égoïste. Aucun élément ne permet d'expliquer ou de justifier son geste, puisqu'il était aidé pour ses besoins vitaux par les services sociaux. Sa collaboration à la procédure n'a pas été bonne, ses allégations étant en contradiction flagrante avec les éléments du dossier et parfaitement invraisemblables. Ses antécédents sont très mauvais et spécifiques, chacune de ses sept précédentes condamnations comportant, notamment, des infractions contre le patrimoine et la législation sur les étrangers. Il s'évertue, malgré les chances généreusement octroyées pour son amendement, à mépriser l'ordre juridique. Une peine complémentaire doit être prononcée, les infractions, objets de l'appel, ayant été commises avant la condamnation prononcée le 1 er novembre 2012 par le Ministère public vaudois. La nouvelle peine sera donc partiellement complémentaire à celle de six mois de privation de liberté assortie d'une amende de CHF 100.-. Tenant compte des considérations qui précèdent, la Chambre de céans estime qu'une peine complémentaire de cinq mois se justifie pleinement. Le jugement entrepris sera réformé en ce sens. 3.5.2 L'intimé ayant fait jusqu'à ce jour très peu de cas des nombreuses condamnations subies, notamment de celle de 21 mois de peine privative de liberté prononcée par la Chambre de céans il y a moins de deux ans, et en l'absence de tout changement dans sa situation personnelle précaire, il n'y a pas de place pour un sursis et c'est à tort que le tribunal a renoncé à révoquer la libération conditionnelle octroyée par le TAPEM. Cette révocation sera ordonnée et l'intimé condamné à une peine d'ensemble de douze mois.</w:t>
      </w:r>
    </w:p>
    <w:p>
      <w:r>
        <w:rPr>
          <w:b/>
        </w:rPr>
        <w:t>E. 4</w:t>
      </w:r>
    </w:p>
    <w:p>
      <w:r>
        <w:t>4.1 Lors du prononcé du jugement en appel, la juridiction doit, à l'instar du tribunal de première instance, se prononcer sur la question de la détention. En effet, si l'autorité d'appel entre en matière, son jugement se substitue à celui de première instance (art. 408 CPP); il y a lieu dès lors d'appliquer mutatis mutandis l'art. 231 CPP et de décider si le condamné doit être placé ou maintenu en détention pour garantir l'exécution de la peine ou en prévision d'un éventuel recours, pour autant que les conditions de l'art. 221 CPP soient satisfaites. La juridiction d'appel peut ainsi prononcer le maintien de la détention pour des motifs de sûreté, ou ordonner une mise en détention en se fondant sur l'art. 232 CPP. La jurisprudence considère en effet qu'une éventuelle condamnation en appel peut constituer un motif de détention apparu en cours de procédure au sens de l'alinéa premier de cette disposition (ATF 138 IV 81 consid. 2.1 p. 83); cette décision, qui doit être dûment motivée, peut être prononcée par le tribunal in corpore dans le cas où elle est rendue dans le cadre du jugement sur appel (même arrêt consid. 2.5), ou par la direction de la procédure si elle est rendue après le prononcé (arrêt 1B_219/2013 du 16 juillet 2013 consid. 2.1; ATF 139 IV 277 p. 281).</w:t>
      </w:r>
    </w:p>
    <w:p>
      <w:r>
        <w:rPr>
          <w:b/>
        </w:rPr>
        <w:t>E. 4.2</w:t>
      </w:r>
    </w:p>
    <w:p>
      <w:r>
        <w:t>En l'espèce, l'intimé étant détenu pour d'autre cause, il n'y a pas lieu de prononcer sa détention pour des motifs de sûreté. L'appelant exécutera la peine à laquelle il a été condamné dès l'entrée en force du présent arrêt.</w:t>
      </w:r>
    </w:p>
    <w:p>
      <w:r>
        <w:rPr>
          <w:b/>
        </w:rPr>
        <w:t>E. 5</w:t>
      </w:r>
    </w:p>
    <w:p>
      <w:r>
        <w:t>5.1 À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décision de confiscation fait l'objet d'un avis officiel. Les prétentions de lésés ou de tiers s'éteignent cinq ans après cet avis (art. 70 al. 4 CP).</w:t>
      </w:r>
    </w:p>
    <w:p>
      <w:r>
        <w:rPr>
          <w:b/>
        </w:rPr>
        <w:t>E. 5.2</w:t>
      </w:r>
    </w:p>
    <w:p>
      <w:r>
        <w:t>En l'espèce, les objets, pour lesquels l'intimé a été reconnu coupable de recel, devront être confisqués et leur liste publiée dans la Feuille d'avis officielle, leurs légitimes propriétaires étant, à ce jour, inconnus. Le jugement entrepris sera également réformé sur ce point.</w:t>
      </w:r>
    </w:p>
    <w:p>
      <w:r>
        <w:rPr>
          <w:b/>
        </w:rPr>
        <w:t>E. 6</w:t>
      </w:r>
    </w:p>
    <w:p>
      <w:r>
        <w:t>Le prévenu, qui succombe, supportera les frais de la procédure de première instance et d'appel, comprenant un émolument de jugement de CHF 1'000.- pour la procédure d'appel (art. 428 al. 1 CPP et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