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P/5521/2020 vom 22. April 2020</w:t>
      </w:r>
    </w:p>
    <w:p>
      <w:r>
        <w:t>GE Cour de justice, 2020-04-22, FR</w:t>
      </w:r>
    </w:p>
    <w:p>
      <w:r>
        <w:rPr>
          <w:b/>
        </w:rPr>
        <w:t xml:space="preserve">Quelle: </w:t>
      </w:r>
      <w:r>
        <w:t>https://mcp.opencaselaw.ch/entscheid/ge_gerichte_P_5521_2020</w:t>
      </w:r>
    </w:p>
    <w:p>
      <w:r>
        <w:t>FR: GE_GERICHTE P/5521/2020 du 22 avril 2020</w:t>
      </w:r>
    </w:p>
    <w:p>
      <w:r>
        <w:t>IT: GE_GERICHTE P/5521/2020 del 22 aprile 2020</w:t>
      </w:r>
    </w:p>
    <w:p>
      <w:pPr>
        <w:pStyle w:val="Heading2"/>
      </w:pPr>
      <w:r>
        <w:t>Regeste</w:t>
      </w:r>
    </w:p>
    <w:p>
      <w:r>
        <w:t>QUALITÉ POUR AGIR ET RECOURIR;INTÉRÊT JURIDIQUEMENT PROTÉGÉ;DÉNI DE JUSTICE | CPP.382; CPP.393</w:t>
      </w:r>
    </w:p>
    <w:p>
      <w:pPr>
        <w:pStyle w:val="Heading2"/>
      </w:pPr>
      <w:r>
        <w:t>Erwägungen</w:t>
      </w:r>
    </w:p>
    <w:p>
      <w:r>
        <w:rPr>
          <w:b/>
        </w:rPr>
        <w:t>E. 1</w:t>
      </w:r>
    </w:p>
    <w:p>
      <w:r>
        <w:t>Le recours a été déposé selon la forme et - faute de notification conforme à l'art. 85 al. 2 CPP - dans le délai prescrits (art. 385 al. 1 et 396 al. 1 CPP), concerner une décision sujette à recours auprès de la Chambre de céans (art. 310 al. 2, 322 al. 3 et 393 al. 1 let a CPP). Comme le recourant explique, dans l'acte de recours, avoir reçu la décision attaquée le 29 avril 2020 et que le contraire ne résulte pas du dossier, il faut admettre que l'écriture complémentaire du 11 mai 2020 intervient encore en temps utile, soit à l'expiration, reportée (art. 90 al. 2 CPP), du délai de dix jours prévu par la loi.</w:t>
      </w:r>
    </w:p>
    <w:p>
      <w:r>
        <w:rPr>
          <w:b/>
        </w:rPr>
        <w:t>E. 2</w:t>
      </w:r>
    </w:p>
    <w:p>
      <w:r>
        <w:t>Reste à savoir si le recourant possède un intérêt juridiquement protégé à la modification ou à l'annulation de la décision querellée (art. 382 al. 1 CPP).</w:t>
      </w:r>
    </w:p>
    <w:p>
      <w:r>
        <w:rPr>
          <w:b/>
        </w:rPr>
        <w:t>E. 2.1</w:t>
      </w:r>
    </w:p>
    <w:p>
      <w:r>
        <w:t>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w:t>
      </w:r>
    </w:p>
    <w:p>
      <w:r>
        <w:rPr>
          <w:b/>
        </w:rPr>
        <w:t>E. 2.2</w:t>
      </w:r>
    </w:p>
    <w:p>
      <w:r>
        <w:t>Le patrimoine des sociétés anonymes est distinct de celui de son ou ses actionnaire(s); il n'est pas considéré comme confié à leurs organes dirigeants. Ce raisonnement est fondé sur la conception que les organes d'une société ne sont pas des tiers vis-à-vis de celle-ci, mais une composante d'elle-même; les organes ne reçoivent ainsi pas à proprement parler le patrimoine de la société aux fins de le gérer dans l'intérêt de celle-ci (arrêt du Tribunal fédéral 6B_326/2012 du 14 janvier 2013 consid. 2.5.3). Ainsi, les actes de disposition illicites opérés par l'auteur avec le patrimoine social, dans le cadre de son activité en tant qu'organe, remplissent les éléments constitutifs objectifs de la gestion déloyale, au sens de l'art. 158 CP, lorsque la société est, de la sorte,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p. 386; 140 IV 155 consid. 3.3.1 p. 158).</w:t>
      </w:r>
    </w:p>
    <w:p>
      <w:r>
        <w:rPr>
          <w:b/>
        </w:rPr>
        <w:t>E. 2.3</w:t>
      </w:r>
    </w:p>
    <w:p>
      <w:r>
        <w:t>En l'espèce, le recourant soutient que B______, en sa qualité d'administrateur unique de la société immobilière D______ SA, se serait rendu coupable de gestion déloyale, pour avoir refusé de se plier à l'injonction judiciaire de convoquer l'assemblée générale et fait perdurer la commission de délits. Sous l'angle de l'art. 158 CP, on ne voit pas quel préjudice patrimonial - qui est un élément constitutif de l'infraction - résulterait de ce refus ni - surtout - quel préjudice patrimonial direct en éprouverait le recourant, qui est un actionnaire. Si l'on comprend bien, le refus de convoquer l'assemblée générale permettrait au frère du recourant de bénéficier d'un loyer de complaisance, car il occuperait en réalité toute la villa (et non plus seulement le " premier niveau "). Or, ce refus n'est pas un acte en lien de causalité directe avec l'éventuel manque à gagner pour la société, et encore moins avec une atteinte directe aux intérêts pécuniaires du recourant, sur lesquels le mis en cause n'était, au surplus, nullement tenu de veiller.</w:t>
      </w:r>
    </w:p>
    <w:p>
      <w:r>
        <w:rPr>
          <w:b/>
        </w:rPr>
        <w:t>E. 2.4</w:t>
      </w:r>
    </w:p>
    <w:p>
      <w:r>
        <w:t>Il n'en va pas différemment des accusations de faux dans les titres (art. 251 CP) et d'inobservation des prescriptions légales sur la comptabilité (art. 325 CP), étant observé qu'aucune des écritures de recours ne contient de motivation explicite sur ces griefs (art. 385 al. 1 let. a CPP). En tant que ces infractions auraient contribué à un dommage, celui-ci n'aurait de toute manière pas atteint le recourant directement.</w:t>
      </w:r>
    </w:p>
    <w:p>
      <w:r>
        <w:rPr>
          <w:b/>
        </w:rPr>
        <w:t>E. 2.5</w:t>
      </w:r>
    </w:p>
    <w:p>
      <w:r>
        <w:t>Le recourant ne peut rien tirer en sa faveur de l'hoirie qu'il constituait avec son frère. Comme il l'explique lui-même, les actions de la société immobilière D______ SA ont été réparties entre son frère et lui, à titre de partage du bien, selon convention passée entre eux après le décès de leur mère. Par conséquent, la villa détenue par la société ne relève plus de la succession, i.e. d'une hoirie. D'ailleurs, le recourant ne manque pas de reprocher à B______ d'avoir " menti " en niant que les actions de la société n'avaient pas été partagées entre les hoirs. En outre, le jugement du Tribunal de première instance qu'il a produit avec sa plainte fonde sa qualité pour agir précisément sur le fait qu'il est actionnaire de la société, et non pas membre, ou représentant, d'une communauté héréditaire détenant la villa.</w:t>
      </w:r>
    </w:p>
    <w:p>
      <w:r>
        <w:rPr>
          <w:b/>
        </w:rPr>
        <w:t>E. 3</w:t>
      </w:r>
    </w:p>
    <w:p>
      <w:r>
        <w:t>Faute pour le recourant d'être directement atteint dans ses intérêts juridiquement protégés, le recours doit être déclaré irrecevable.</w:t>
      </w:r>
    </w:p>
    <w:p>
      <w:r>
        <w:rPr>
          <w:b/>
        </w:rPr>
        <w:t>E. 4</w:t>
      </w:r>
    </w:p>
    <w:p>
      <w:r>
        <w:t>On pourrait se demander si cette issue prive le recourant du droit de se plaindre d'un retard injustifié (dans ce sens, ACPR/335/2014 du 14 juillet 2014 consid. 3). Quoi qu'il en soit, le Ministère public n'a nullement tardé à statuer, puisqu'il a rendu la décision querellée cinq semaines après avoir été saisi de la plainte pénale. Et le recourant lui reproche, paradoxalement, d'avoir agi " à la hâte ". Le recourant semble se méprendre, pour le surplus, sur la notion de retard injustifié. Il n'y a pas de déni de justice si l'autorité saisie a statué sur ce qui était demandé, mais dans un sens qui déplaît au justiciable. En effet, en pareil cas, il n'y a en principe plus de place pour un déni de justice ou un retard à statuer (arrêt du Tribunal fédéral 1C_464/2019 du 5 décembre 2019 consid. 5).</w:t>
      </w:r>
    </w:p>
    <w:p>
      <w:r>
        <w:rPr>
          <w:b/>
        </w:rPr>
        <w:t>E. 5</w:t>
      </w:r>
    </w:p>
    <w:p>
      <w:r>
        <w:t>Il résulte de ce qui précède que la Chambre de céans pouvait décider d'emblée de traiter le recours sans échange d'écritures ni débats (art. 390 al. 2 et 5 a contrario CPP).</w:t>
      </w:r>
    </w:p>
    <w:p>
      <w:r>
        <w:rPr>
          <w:b/>
        </w:rPr>
        <w:t>E. 6</w:t>
      </w:r>
    </w:p>
    <w:p>
      <w:r>
        <w:t>Le recourant, qui succombe, demande l'exonération des frais judiciaires " au vu de la cause et de sa situation financière ". Il n'a cependant pas justifié de celle-ci - qui lui a tout de même permis de verser les sûretés demandées - ni n'a requis l'assistance judiciaire. Ce nonobstant, l'échec de ses conclusions ne lui donnerait pas droit à l'exemption qu'il réclame, au sens de l'art. 136 al. 2 let. b CPP. En effet, l'octroi de l'assistance judiciaire gratuite est subordonné aux chances de succès dans la cause de celui qui réclame celle-ci (cf. ATF 139 III 396 consid. 1.2 p. 397; 139 I 206 consid. 3.3.1 p. 214; 138 III 217 consid. 2.2.4 p. 18; 133 III 614 consid. 5 p. 616; 129 I 129 consid. 2.3.1 p. 135 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 Le recourant supportera donc les frais envers l'État, qui seront fixés en totalité à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