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P/5515/2018 vom 13. März 2019</w:t>
      </w:r>
    </w:p>
    <w:p>
      <w:r>
        <w:t>GE Cour de justice, 2019-03-13, FR</w:t>
      </w:r>
    </w:p>
    <w:p>
      <w:r>
        <w:rPr>
          <w:b/>
        </w:rPr>
        <w:t xml:space="preserve">Quelle: </w:t>
      </w:r>
      <w:r>
        <w:t>https://mcp.opencaselaw.ch/entscheid/ge_gerichte_P_5515_2018</w:t>
      </w:r>
    </w:p>
    <w:p>
      <w:r>
        <w:t>FR: GE_GERICHTE P/5515/2018 du 13 mars 2019</w:t>
      </w:r>
    </w:p>
    <w:p>
      <w:r>
        <w:t>IT: GE_GERICHTE P/5515/2018 del 13 marzo 2019</w:t>
      </w:r>
    </w:p>
    <w:p>
      <w:pPr>
        <w:pStyle w:val="Heading2"/>
      </w:pPr>
      <w:r>
        <w:t>Regeste</w:t>
      </w:r>
    </w:p>
    <w:p>
      <w:r>
        <w:t>ADMINISTRATION DES PREUVES; DISPOSITIONS PÉNALES DE LA LSTUP; COMMERCE DE STUPÉFIANTS; COCAÏNE; CANNABIS; EXPULSION(DROIT PÉNAL); CONFISCATION(DROIT PÉNAL); INDEMNITÉ POUR DÉTENTION; DÉTENTION ILLICITE ; CÔTE D'IVOIRE | LStup.19; CPP.389; CP.66abis; CP.70; CP.69; CPP.429.al1.letc; CP.51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Le recours est recevable contre les ordonnances, les décisions et les actes de procédure des tribunaux de première instance (art. 393 al. 1 let. b CPP). L'appelant requiert, dans sa déclaration d'appel, la constatation de la nullité de l'ordonnance de maintien en détention pour des motifs de sûreté de la Présidente du Tribunal de police du 12 septembre 2018. La question a été tranchée par la CPR, dans son arrêt ACPR/586/18 du 10 octobre 2018, de sorte qu'elle est sans objet. Partant, cette conclusion sera rejetée.</w:t>
      </w:r>
    </w:p>
    <w:p>
      <w:r>
        <w:rPr>
          <w:b/>
        </w:rPr>
        <w:t>E. 2</w:t>
      </w:r>
    </w:p>
    <w:p>
      <w:r>
        <w:t>2.1. L'énumération des cas dans lesquels la juridiction d'appel peut traiter un appel en procédure écrite est exhaustive. Dès qu'une question de fait est litigieuse, hypothèse qui est généralement réalisée lorsque le recourant conclut à son acquittement, il y a lieu d'ordonner des débats, sauf accord contraire des parties (ATF 139 IV 290 consid. 1 p. 291 ss, paru in SJ 2014 I p. 168 ; arrêt du Tribunal fédéral 6B_510/2014 du 9 janvier 2015 consid. 1.2). L'art. 406 al. 2 CPP n'exige pas l'accord exprès des parties pour ordonner la procédure écrite. L'accord peut aussi être tacite.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(ATF 143 IV 483 consid. 2). 2.2.1.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2.2.2.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6B______/2012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en matière d'appréciation anticipée des preuves (arrêts du Tribunal fédéral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2.2.3. Conformément à l'art. 389 al. 2 CPP,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2.3.1.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 2.3.2. En l'espèce, la CPAR comprend que l'appelant, qui a procédé par écrit, émet une réserve dans la mesure où il requiert premièrement l'audition du témoin C______, ce qui conduirait à devoir ordonner des débats. Ce témoin a néanmoins déjà été entendu par la police, en présence du conseil de l'appelant, qui a partant pu lui poser toutes questions utiles. La CPAR n'a pour le surplus pas besoin de la connaissance directe de ce témoignage, de sorte qu'il n'est pas nécessaire de l'entendre à nouveau. La production du casier judiciaire du témoin C______ et de ses renseignements de police est sans pertinence pour déterminer si l'appelant a réellement, le 20 mars 2018, vendu de la cocaïne au témoin. La procédure est dirigée contre l'appelant et les antécédents du témoin C______ n'ont dès lors pas à être instruits. La CPAR appréciera sa crédibilité à l'aune de tous les éléments de la procédure et se réfère pour le surplus à l'arrêt ACPR/305/2018 ayant déjà statué sur cette question. Finalement, la production du relevé du téléphone de l'appelant est sans pertinence dans la mesure où, vu son acquittement partiel en première instance portant sur les ventes de stupéfiant des deux dernières années, dénoncées par le témoin C______, ainsi que l'absence d'appel (joint) du Ministère public, seules lui restent reprochées, en appel, les ventes de stupéfiants des 13 février et 20 mars 2018. Peu importe dans ces conditions pour le surplus de savoir qui auraient été ses autres clients. La CPAR disposant des éléments nécessaires pour trancher l'appel, les réquisitions de preuves doivent être rejetées. Ainsi il peut être procédé par écrit, comme accepté par le prévenu appelant par acte concluant (le dépôt du mémoire d'appel), dans la mesure où sa réquisition de preuves commandant la tenue de débats est écartée.</w:t>
      </w:r>
    </w:p>
    <w:p>
      <w:r>
        <w:rPr>
          <w:b/>
        </w:rPr>
        <w:t>E. 3</w:t>
      </w:r>
    </w:p>
    <w:p>
      <w:r>
        <w:t>L'appelant ne conteste pas, à juste titre, sa culpabilité, dûment établie par les éléments du dossier ainsi que par ses aveux, pour le chef d'infraction de séjour illégal (art. 115 al. 1 let. b LEtr), passible d'une peine privative de liberté d'un an au plus ou d'une peine pécuniaire.</w:t>
      </w:r>
    </w:p>
    <w:p>
      <w:r>
        <w:rPr>
          <w:b/>
        </w:rPr>
        <w:t>E. 4</w:t>
      </w:r>
    </w:p>
    <w:p>
      <w:r>
        <w:t>4.1.1.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4.1.2. À teneur de l'art. 19 al. 1 let. c LStup celui qui, sans droit, aliène ou prescrit des stupéfiants, en procure de toute autre manière à un tiers ou en met dans le commerce sera puni d'une peine privative de liberté de trois ans au plus ou d'une peine pécuniaire. L'art. 19 al. 1 let. d LStup réprime, de la même peine, celui qui, sans droit, possède, détient ou acquiert des stupéfiants ou s'en procure de toute autre manière.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 5 septembre 2017 consid. 2.2 ; 6B_474/2016 du 6 février 2017 consid. 3.1). 4.1.3. Le critère du modus operandi peut être pris en compte lorsqu'il s'agit d'attribuer une infraction à son auteur présumé (arrêt du Tribunal fédéral 6B_931/2016 du 6 juin 2017 consid. 1.2.2). 4.2.1. En l'espèce, l'appelant possédait 0.8 gr de marijuana et 28.4 gr de haschich lors de son interpellation le 13 février 2018, ce qui est établi à teneur du rapport d'arrestation ainsi que de ses aveux. L'appelant n'a pas contesté la détention de ces deux substances, retrouvées dans la même poche que les 2.1 gr de cocaïne pour lesquels il est poursuivi. Il n'est dans ces conditions pas crédible lorsqu'il prétend ignorer comment cette drogue s'est retrouvée au même endroit, étant relevé qu'il ne remet à juste titre pas en cause les constatations de la police à cet égard. Il ne fournit aucune explication quant à la présence sur sa personne de cocaïne à son insu. Ses dénégations sont partant dépourvues de toute assise dans le dossier. Comme il a affirmé ne pas consommer de cocaïne, seule une détention en vue de vente est plausible. Partant, sa condamnation pour infraction l'art. 19 al. 1 LStup sera confirmée. 4.2.2. La vente de petits cailloux de cocaïne pour un poids de 9.5 gr opérée par l'appelant le 20 mars 2018 est étayée par les observations de la police, que l'appelant ne critique pas en tant que telles, puis les déclarations du témoin C______, interpellé juste après la transaction en leur possession. Ce témoin a sans aucun doute identifié l'appelant comme son vendeur et a donné des explications détaillées et précises sur ladite transaction, à hauteur de CHF 500.-. Il a réitéré ses explications en présence du conseil de l'appelant lesquelles jouissent partant d'une forte crédibilité. C'est vainement que ce dernier cherche à les remettre en cause en appel en prétendant que ce témoin aurait été sous l'influence d'un inspecteur. En sous-entendant une telle connivence, le conseil de l'appelant accuse ni plus ni moins l'inspecteur en question d'avoir monté un faux dossier, soit plus précisément instigué une personne entendue en qualité de témoin à faire un faux témoignage, ce qui relève d'un comportement pénalement répréhensible. La CPAR ne saurait le suivre sur cette voie. Les déclarations de l'appelant ont quant à elles varié au fil de ses auditions, sur le déroulement de l'après-midi du 20 mars 2018 ainsi que sur les circonstances de son rendez-vous avec le témoin C______. En affirmant n'avoir jamais vendu de drogue, il feint d'oublier les trois condamnations inscrites à son casier judiciaire pour délit à la LStup, dans des configurations similaires. Lors de son interpellation le 20 mars 2018 dans la soirée, suite à la vente de cocaïne qui lui avait rapporté CHF 500.- dans l'après-midi, il était en possession de plus de CHF 150.-. Il a prétendu les avoir gagnés par de "petits boulots", explications nullement étayées et en contradiction avec le fait qu'il dise vivre grâce à l'aide d'amis. En outre, l'appelant s'est fait interpeller à l'heure et au lieu convenus avec le témoin C______, rendez-vous ayant pour seul objet la remise de marijuana. La détention par l'appelant à ce moment-là de 5 gr de marijuana corrobore encore, s'il en était besoin, la version de ce témoin. Enfin, tant le changement régulier de son numéro de téléphone que le surnom utilisé par des tiers à son égard finissent d'accréditer que l'appelant a bien vendu plus de 9 gr de cocaïne au témoin C______ le 20 mars 2018 de sorte que sa condamnation pour infraction à l'art. 19 al. 1 LStup sera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5.1.2. À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En revanche, lorsque la loi pénale ne prévoit pas le même genre de peine pour toutes les infractions, l'art. 49 al. 1 CP ne s'applique pas et les peines doivent être prononcées cumulativement (ATF 137 IV 57 consid. 4.3 p. 58 ss).</w:t>
      </w:r>
    </w:p>
    <w:p>
      <w:r>
        <w:rPr>
          <w:b/>
        </w:rPr>
        <w:t>E. 5.2</w:t>
      </w:r>
    </w:p>
    <w:p>
      <w:r>
        <w:t>L'appelant ne conteste à juste titre pas le genre de peine ni le fait qu'elle ne soit pas assortie du sursis, mais en demande la réduction. Sa faute n'est pas négligeable. Il s'est livré à un trafic de cocaïne, respectivement a pris des mesures pour en mettre dans le commerce. Il a séjourné en Suisse illégalement sur une période de plus de six mois. Ses mobiles sont égoïstes relevant de l'appât du gain, s'agissant du trafic de stupéfiants et du mépris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Sa collaboration durant la procédure a été moyenne à médiocre, l'appelant contestant encore en appel en particulier le trafic de stupéfiants nonobstant les preuves recueillies à son encontre. Sa prise de conscience est nulle, qui plus est au vu de la récidive, d'autant plus qu'il dit ouvertement compter poursuivre son séjour en Suisse et ce malgré ses récidives en matière d'infractions à la LEtr, ce qui démontre une volonté délictuelle prononcée. Il y a concours d'infractions entre les art. 19 al. 1 LStup et 115 al. 1 let. b LEtr, ce qui commande une augmentation de la peine dans une juste proportion et exclut l'application de la Directive 2008/115/CE du Parlement européen et du Conseil relative aux normes et procédures communes applicables dans les Etats membres au retour des ressortissants de pays tiers en séjour irrégulier du 16 décembre 2018 (Directive sur le retour) (arrêt du Tribunal fédéral 6B_320/2013 du 29 août 2013 consid. 3.2). L'appelant a été précédemment condamné à une peine pécuniaire puis à huit reprises à des peines privative de liberté, sanctions qui n'ont eu aucun effet dissuasif. Dans ces conditions, une peine privative de liberté de sept mois est adéquate et conforme aux éléments de la procédure.</w:t>
      </w:r>
    </w:p>
    <w:p>
      <w:r>
        <w:rPr>
          <w:b/>
        </w:rPr>
        <w:t>E. 6</w:t>
      </w:r>
    </w:p>
    <w:p>
      <w:r>
        <w:t>2. En l'espèce, à part contester le principe du prononcé d'une amende, l'appelant n'en conteste pas le montant. Il est un consommateur régulier de cannabis depuis une dizaine d'années. A teneur de son casier judiciaire, il a été condamné, à diverses reprises, pour consommation de stupéfiants. Ce nonobstant, il ne change pas de comportement. Une telle persistance à enfreindre les lois pénales ne peut être qualifiée de cas bénin. L'amende de CHF 100.- prononcée par le premier juge s'avère dans ces circonstances modeste et même clémente. Elle sera ainsi confirmée.</w:t>
      </w:r>
    </w:p>
    <w:p>
      <w:r>
        <w:rPr>
          <w:b/>
        </w:rPr>
        <w:t>E. 6.1</w:t>
      </w:r>
    </w:p>
    <w:p>
      <w:r>
        <w:t>D'après l'art. 19 a al. 1 LStup, celui qui, sans droit, aura consommé intentionnellement des stupéfiants ou celui qui aura commis une infraction à l'art. 19 [LStup] pour assurer sa propre consommation est passible de l'amende. Dans les cas bénins, l'autorité compétente pourra suspendre la procédure ou renoncer à infliger une peine. Une réprimande peut être prononcée (al. 2). La notion de cas bénin est une notion juridiquement indéterminée que le juge doit interpréter. Il doit prendre en considération l'ensemble des circonstances concrètes, objectives et subjectives (ATF 124 IV 44 consid. 2a p. 45 et les références citées).</w:t>
      </w:r>
    </w:p>
    <w:p>
      <w:r>
        <w:rPr>
          <w:b/>
        </w:rPr>
        <w:t>E. 7</w:t>
      </w:r>
    </w:p>
    <w:p>
      <w:r>
        <w:t>7.1.1. Conformément à l'art. 66 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L'application de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 a al. 2 et 66 a bis CP (arrêt du Tribunal fédéral 2C_695/2016 du 1er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 7.1.2. L'art. 66 a al. 2 CP définit une "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Afin de pouvoir renoncer à une expulsion prévue par l'art. 66 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p. 96 ss ; A. BERGER, Umsetzungsgesetzgebung zur Ausschaffungsinitiative , in Jusletter 7 août 2017 n. 6.1 p. 20 ; AARP/185/2017 du 2 juin 2017 consid. 2.2 ).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 p. 87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 in SZK 1/2017 p. 88 ; M. BUSSLINGER/ P. UEBERSAX, op. cit. , p. 100 s. ; A. BERGER, op. cit. , p. 26 ; contra : G. FIOLKA/ L. VETTERLI, op. cit. , p. 86 s.). Le Tribunal fédéral n'a pas tranché cette question (arrêt du Tribunal fédéral 6B_506/2017 du 14 février 2018 consid. 1.1 in fine ). 7.1.3. La prise en considération de l'état de santé de l'intéressé se justifie. La doctrine estime ainsi que l'art. 66a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l'État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À pondération égale, l'intérêt privé prime sur l'intérêt public (G. FIOLKA / L. VETTERLI, op. cit ., p. 85 et 87 ; M. BUSSLINGER / P. UEBERSAX, op. cit., p. 102 ; AARP/185/2017 du 2 juin 2017 consid. 2.2).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CEDH.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w:t>
      </w:r>
    </w:p>
    <w:p>
      <w:r>
        <w:rPr>
          <w:b/>
        </w:rPr>
        <w:t>E. 7.2</w:t>
      </w:r>
    </w:p>
    <w:p>
      <w:r>
        <w:t>Bien que la faute de l'appelant soit de gravité moyenne, il reste, au vu de ses antécédents, qu'il est durablement inscrit dans la délinquance, ayant été condamné à 12 reprises ces 11 dernières années, pour des infractions non dénuées de gravité telles que vol, séjour illégal, violation de domicile et infractions à la LStup. Son comportement témoigne de son mépris total de l'ordre juridique et de son incapacité à le respecter. Les sanctions prononcées contre l'appelant ne parviennent pas à l'empêcher de commettre de nouvelles infractions. Ainsi, au regard de ses antécédents, on ne peut sous-estimer la gravité des infractions faisant l'objet du jugement entrepris. Il est en particulier à craindre que le recourant menace à nouveau l'ordre et la sécurité publics. Certes, l'appelant réside depuis 14 ans en Suisse, cependant il n'a jamais été titulaire d'un titre de séjour valable. Il ne s'est jamais intégré en Suisse et du fait de son statut administratif n'a jamais eu d'activité professionnelle. Il est sans domicile, dormant auprès de structures d'accueils à Genève, voire auprès de connaissances. De surcroît, aucun membre de sa famille ne réside en Suisse. Ses problèmes de santé ne justifient nullement la persistance de son séjour en Suisse. Il a manqué, à plusieurs reprises, des rendez-vous médicaux, et ne prend pas de manière régulière son traitement médicamenteux ce qui témoigne du peu de sérieux qu'il accorde à ce suivi. Il ne ressort pas de la procédure et l'appelant ne prétend pas qu'il pourrait se faire traiter ailleurs, soit notamment dans son pays d'origine. Sans étayer de quelconque manière ses propos, il soutient en appel devoir être considéré comme apatride après que son pays aurait refusé de le reconnaître. Ceci ne suffit pas à devoir renoncer à prononcer de son expulsion de Suisse. La durée d'expulsion de dix ans est adéquate, au vu de son ancrage dans la délinquance. L'expulsion de l'appelant est ainsi justifiée et proportionnée et sera par conséquent confirmée. La peine privative de liberté sera exécutée avant l'expulsion.</w:t>
      </w:r>
    </w:p>
    <w:p>
      <w:r>
        <w:rPr>
          <w:b/>
        </w:rPr>
        <w:t>E. 8</w:t>
      </w:r>
    </w:p>
    <w:p>
      <w:r>
        <w:t>8.1.1. D'après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8.1.2.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8.2.1.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 AT II, 2 e éd., Berne 2006, § 13, n. 86 ; M. VOUILLOZ, Le nouveau droit suisse de la confiscation pénale et de la créance compensatrice ,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8.2.2.1. Selon la jurisprudence,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 La confiscation d'objets dangereux constitue une atteinte à la garantie de la propriété selon l'art. 26 Cst. et elle est soumise pour cette raison au principe de la proportionnalité (art. 36 Cst.; ATF 137 IV 249 consid. 4.5 p. 256). 8.2.2.2. Il doit également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8.2.3.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w:t>
      </w:r>
    </w:p>
    <w:p>
      <w:r>
        <w:rPr>
          <w:b/>
        </w:rPr>
        <w:t>E. 8.3</w:t>
      </w:r>
    </w:p>
    <w:p>
      <w:r>
        <w:t>En l'espèce, l'appelant demande la restitution des CHF 150.-, et du téléphone portable saisis sur sa personne le 20 mars 2018.</w:t>
      </w:r>
    </w:p>
    <w:p>
      <w:r>
        <w:rPr>
          <w:b/>
        </w:rPr>
        <w:t>E. 8.3.1</w:t>
      </w:r>
    </w:p>
    <w:p>
      <w:r>
        <w:t>L'appelant a varié dans ses explications s'agissant de la provenance de ces espèces, avançant tout d'abord qu'il vivait grâce à l'aide de son entourage, avant d'indiquer que ces espèces provenaient de " petits boulots ". Il n'étaye pas davantage cette dernière hypothèse, que ce soit notamment par une description plus détaillée du déroulement de ces travaux. Il est à l'inverse établi que l'appelant s'adonnait à un trafic de stupéfiants et a reçu le 20 mars 2018 CHF 500.- en contrepartie de cailloux de cocaïne remis au témoin C______. Ainsi, ces espèces sont bien le produit de son trafic de stupéfiants de sorte que leur confiscation et leur dévolution à l'Etat sera confirmée.</w:t>
      </w:r>
    </w:p>
    <w:p>
      <w:r>
        <w:rPr>
          <w:b/>
        </w:rPr>
        <w:t>E. 8.3.2</w:t>
      </w:r>
    </w:p>
    <w:p>
      <w:r>
        <w:t>L'appelant détenait le même appareil téléphonique avec le numéro d'appel 2______, à chacune de ses interpellations en février et mars 2018. Le témoin C______ a indiqué avoir contacté, le 20 mars 2018, l'appelant, sur ce numéro de téléphone, dans le but de lui demander de la marijuana. Finalement, une vente de cocaïne est intervenue au terme de leur première transaction ce jour-là. Partant, l'appelant a bien fait usage du smartphone saisi pour se livrer à un trafic de stupéfiants de sorte que sa confiscation et sa dévolution à l'Etat se justifient. Le jugement de première instance sera partant également confirmé sur ce point.</w:t>
      </w:r>
    </w:p>
    <w:p>
      <w:r>
        <w:rPr>
          <w:b/>
        </w:rPr>
        <w:t>E. 9</w:t>
      </w:r>
    </w:p>
    <w:p>
      <w:r>
        <w:t>9.1. Le prévenu a un droit découlant de la liberté personnelle à être remis immédiatement en liberté. Le Ministère public doit en conséquence prendre rapidement les mesures nécessaires à une libération effective ; un délai de 11 heures entre la décision de mise en liberté et son exécution a été jugé contraire à l'art. 5 al. 1 CEDH (D. LOGOS, Commentaire romand du code de procédure pénale , Bâle 2011, n. 33 ad art. 224 ainsi que les références citées).</w:t>
      </w:r>
    </w:p>
    <w:p>
      <w:r>
        <w:rPr>
          <w:b/>
        </w:rPr>
        <w:t>E. 9.2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9.3.1.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 9.3.2. 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L'indemnisation financière selon l'art. 429 al. 1 let. c CPP est ainsi subsidiaire à l'imputation et il n'existe aucun droit pour le prévenu concerné de choisir entre l'une ou l'autre voie. 9.3.3.1. 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Il convient dans ce premier volet de procéder à l'examen objectif de l'atteinte en fonction de la nature et de la gravité de l'atteinte (C. GENTON / C. PERRIER, Les prétentions du prévenu en indemnités et en réparation du tort moral , in Jusletter du 13 février 2012, n. 85 p. 12 n. 38 et les arrêts cités ; ATF 135 IV 43 consid. 4.1.). Il appartient au prévenu, qui supporte le fardeau de la preuve de l'étendue du préjudice, de rendre vraisemblable que le dommage dont il demande réparation est la conséquence directe de son inculpation ou de son incarcération. L'indemnité allouée doit être équitable et proportionné à l'intensité des souffrances morales causées à la victime (ATF 130 III 699 consid. 5.1. p. 704 et les arrêts cités ; décision du Tribunal pénal fédéral SK. 2013.3/5 /6 du 24 avril 2016). L'autorité compétente bénéficie d'un pouvoir d'appréciation en la matière (ATF 129 IV 22 consid. 7.2. p. 36 s.).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 P. DUCKSCH / K. GUERRERO, Die Genugtuung , 3 e éd., Zurich 2005, n. 10.5 ss, p. I 105 s. ; C MIZEL / V. RETORNAZ, in Commentaire romand du CPP , n. 48 ad art 429 ; arrêt 6B_1052/2014 du 22 décembre 2015 consid. 2.1. ; 6B_1057/2015 du 25 mai 2016 consid. 4.1.). 9.3.3.2.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(arrêt 6B_111/2012 du 15 mai 2012 consid. 4.2 ; ATF 113 Ib 155 consid. 3b). 9.3.3.3.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du Tribunal fédéral 1A.299/2000 du 30 mai 2001 consid. 5c : Bosnie Herzégovine, pouvoir d'achat 6 à 7 fois plus élevé permettant une réduction de l'indemnité de 75%, jugée élevée par le Tribunal fédéral mais demeurant néanmoins dans les limites du pouvoir d'appréciation de la cour cantonale ; arrêt du Tribunal fédéral 1C_106/2008 du 24 septembre 2008 consid. 4.2 : Portugal, coût de la vie correspondant à 70% du coût de la vie suisse ne justifiant pas de réduction ; arrêt du Tribunal fédéral 6B_909/2015 du 22 juin 2016 consid. 2.3.1). Ainsi, la juridiction d'appel a diminué de 60% l'indemnité de CHF 100.- par jour pour tort moral dans le cas d'un ressortissant albanais qui avait subi 89 jours de détention ( AARP/120/2015 du 3 mars 2015 consid. 4.2.3. qui constate une différence de niveau de vie d'un facteur 26), de 70% l'indemnité de CHF 100.- par jour pour tort moral dans le cas d'un ressortissant kosovar qui avait subi 76 jours de détention ( AARP/376/2012 du 16 novembre 2012), de 65% dans le cas d'un ressortissant tunisien, habitant à Gex, en France, qui avait subi 183 jours de détention ( AARP/605/2013 du 30 décembre 2013 pour une différence de facteur 20 ; ACPR/434/2014 du 29 septembre 2014) et de 55% eu égard à un ressortissant roumain, étant considéré que le niveau de vie en Roumanie état neuf fois et demie moins élevé qu'en Suisse (PIB par habitant suisse de CHF 78'023.- et roumain de CHF 8'100 en 2012), et l'a ainsi notamment arrêtée à CHF 90.- pour les quatre premiers mois de détention illicite (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Selon les données de la Banque mondiale, en 2017 le PIB par habitant suisse était de l'ordre de USD 80'190.- (CHF 80'590.-) et ivoirien d'environ USD 1'662.- (CHF 1'670.-) (https://donnees.banquemondiale.org/indicator/NY.GDP.PCAP.CD ; https://www.oanda.com/lang/fr/currency/converter/ au 12.11.2018).</w:t>
      </w:r>
    </w:p>
    <w:p>
      <w:r>
        <w:rPr>
          <w:b/>
        </w:rPr>
        <w:t>E. 9.4</w:t>
      </w:r>
    </w:p>
    <w:p>
      <w:r>
        <w:t>A titre liminaire, la conclusion de l'appelant tendant à la constatation de l'aspect excessif du prononcé du maintien en détention pour motifs de sûreté le 12 septembre 2018 et ordonné en violation du principe de proportionnalité est sans objet. En effet, la CPR l'a déjà constaté dans son arrêt du 10 octobre 2018, suite au recours de l'appelant contre ladite ordonnance. La prison de ______ (GE) n'a été informée de la mise en liberté immédiate de l'appelant, prononcée par la CPR le 10 octobre 2018, que le 15 octobre 2018, soit cinq jours au-delà de la décision rendue par la Présidente de la CPR. Ceci constitue certes un délai excessif au regard de l'art. 5 CEDH. La détention subie avant jugement dans la présente procédure (y compris le jour passé dans la P/3______/2018 avant jonction), de 213 jours, est de trois jours supérieurs à la peine privative de liberté de sept mois présentement confirmée. Il n'y a donc place pour une indemnisation que pour les trois jours excédant ladite peine. De nationalité ivoirienne, l'appelant vit illégalement en Suisse depuis 14 ans et dort soit chez diverses connaissances soit dans des abris de protection civile. Il est sans revenu depuis des années. Son expulsion est présentement prononcée de sorte qu'il est sensé retourner vivre dans son pays d'origine. Selon les chiffres 2017 du PIB par habitant, le niveau de vie en Côte d'Ivoire est environ 50 fois moins élevé qu'en Suisse. Vu cette différence conséquente, il se justifie d'adapter le montant de l'indemnité journalière au niveau de vie dans le pays d'origine de l'intimé. La réduction est une exception et résulte d'un calcul en équité prenant en compte toutes les circonstances. Il n'y a donc pas lieu de diviser de manière arithmétique l'indemnité journalière généralement octroyée par cinquante. Un montant journalier de CHF 50.- sera ainsi retenu car il est apte à dédommager l'intimé de son tort moral, tout en étant en adéquation avec le niveau de vie en Côte d'Ivoire. La CPAR relève, au surplus, que l'appelant n'a pas fait état de souffrances particulières, sinon celles inhérentes à toute incarcération, qui justifieraient d'augmenter ce montant. En conclusion, une indemnité pour tort moral de CHF 150.- (CHF 50.- x 3 jours) lui sera allouée.</w:t>
      </w:r>
    </w:p>
    <w:p>
      <w:r>
        <w:rPr>
          <w:b/>
        </w:rPr>
        <w:t>E. 10</w:t>
      </w:r>
    </w:p>
    <w:p>
      <w:r>
        <w:t>L'appelant, qui succombe pour essentielle partie, supportera les 7/8 èmes des frais de la procédure envers l'État (art. 428 CPP), comprenant un émolument de CHF 2'500.- (art. 428 CPP et art. 14 al. 1 lit. e du règlement fixant le tarif des frais en matière pénale du 22 décembre 2010 [RTFMP - RS/GE E 4 10.03]), le solde étant laissé à charge de l'Etat.</w:t>
      </w:r>
    </w:p>
    <w:p>
      <w:r>
        <w:rPr>
          <w:b/>
        </w:rPr>
        <w:t>E. 11</w:t>
      </w:r>
    </w:p>
    <w:p>
      <w:r>
        <w:t>11.1.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11.2.1.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En cas d'assujettissement, l'équivalent de la TVA est versé en sus. 11.2.2.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11.2.3.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11.2.4.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11.3</w:t>
      </w:r>
    </w:p>
    <w:p>
      <w:r>
        <w:t>En application de ces principes, il convient de retrancher de l'état de frais de M e B______ : ·      2h30 correspondant aux postes du 24 septembre 2018 " Examen du dossier " et " Rédaction d'un recours à la CPR ", lesquels ne concernent pas une activité déployée devant la CPAR, saisie du dossier le 25 octobre 2018 ; ·      3h pour le poste " Rédaction d'appel " du 25 octobre 2018, acte qui n'a pas à être motivé et entre dans le forfait pour activités diverses ; ·      1h de " recherches juridiques (plaidoiries) ", activité qui n'est pas indemnisée, aucune question juridique particulièrement pointue ne s'étant au demeurant posée en l'espèce dans ce dossier dénué de toute complexité.</w:t>
      </w:r>
    </w:p>
    <w:p>
      <w:r>
        <w:rPr>
          <w:b/>
        </w:rPr>
        <w:t>E. 11.4</w:t>
      </w:r>
    </w:p>
    <w:p>
      <w:r>
        <w:t>En conclusion, l'indemnité sera arrêtée à CHF 727.55 correspondant à 5h35 d'activité au tarif de CHF 110.-/heure (CHF 614.15) plus la majoration forfaitaire de 10%, vu l'activité indemnisée en première instance (CHF 61.40) et l'équivalent de la TVA au taux de 7.7% (CHF 52.-).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