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P/5457/2022 vom 21. April 2022</w:t>
      </w:r>
    </w:p>
    <w:p>
      <w:r>
        <w:t>GE Cour de justice, 2022-04-21, FR</w:t>
      </w:r>
    </w:p>
    <w:p>
      <w:r>
        <w:rPr>
          <w:b/>
        </w:rPr>
        <w:t xml:space="preserve">Quelle: </w:t>
      </w:r>
      <w:r>
        <w:t>https://mcp.opencaselaw.ch/entscheid/ge_gerichte_P_5457_2022</w:t>
      </w:r>
    </w:p>
    <w:p>
      <w:r>
        <w:t>FR: GE_GERICHTE P/5457/2022 du 21 avril 2022</w:t>
      </w:r>
    </w:p>
    <w:p>
      <w:r>
        <w:t>IT: GE_GERICHTE P/5457/2022 del 21 aprile 2022</w:t>
      </w:r>
    </w:p>
    <w:p>
      <w:pPr>
        <w:pStyle w:val="Heading2"/>
      </w:pPr>
      <w:r>
        <w:t>Regeste</w:t>
      </w:r>
    </w:p>
    <w:p>
      <w:r>
        <w:t>RISQUE DE RÉCIDIVE | CPP.221</w:t>
      </w:r>
    </w:p>
    <w:p>
      <w:pPr>
        <w:pStyle w:val="Heading2"/>
      </w:pPr>
      <w:r>
        <w:t>Erwägungen</w:t>
      </w:r>
    </w:p>
    <w:p>
      <w:r>
        <w:rPr>
          <w:b/>
        </w:rPr>
        <w:t>E. 1</w:t>
      </w:r>
    </w:p>
    <w:p>
      <w:r>
        <w:t>Le recours est recevable pour avoir été déposé selon la forme et dans le délai prescrits (art. 90 al. 2,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estime que les charges seraient insuffisantes, car le motocycle n'avait pas bougé de son emplacement avant le 9 mars 2022, et aucun équipement de moto n'avait été retrouvé chez lui.![endif]&gt;![if&gt;</w:t>
      </w:r>
    </w:p>
    <w:p>
      <w:r>
        <w:rPr>
          <w:b/>
        </w:rPr>
        <w:t>E. 2.1</w:t>
      </w:r>
    </w:p>
    <w:p>
      <w:r>
        <w:t>À teneur de l'art. 221 al. 1 CPP,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143 IV 330 consid. 2.1 p. 333).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p. 318).![endif]&gt;![if&gt;</w:t>
      </w:r>
    </w:p>
    <w:p>
      <w:r>
        <w:rPr>
          <w:b/>
        </w:rPr>
        <w:t>E. 2.2</w:t>
      </w:r>
    </w:p>
    <w:p>
      <w:r>
        <w:t>En l'espèce, le recourant ne s'en prend pas à la valeur probante des photographies versées au dossier à l'issue d'une enquête de police minutieuse, mais soutient que les soupçons qui en résultent ne seraient pas corroborés par des pièces à conviction ou par les déclarations de sa mère.![endif]&gt;![if&gt; Or, ces photos et les autres indices réunis par la police constituent à eux seuls des charges suffisantes contre le recourant. On ne voit pas pourquoi un casque ou une veste auraient nécessairement dus être retrouvés à son domicile pour le confondre. Quant aux convictions de sa mère, selon qui le motocycle n'avait " pas bougé " pendant de longs mois, elles ne sont pas déterminantes : le recourant lui-même a concédé au TMC qu'il lui parlait très peu car elle était " toute la journée au travail ", ce qui signifie qu'elle n'avait pas en permanence le motocycle sous les yeux et qu'elle n'était pas constamment à domicile lorsqu'il revenait de sa place d'apprentissage ou de sa journée de cours. Par ailleurs, indépendamment de leur répétition, la quotité ou la hauteur de certains des excès de vitesse constatés représente une grave mise en danger du trafic, puisque la loi les a érigés en délits (art. 90 al. 3 et 4 LCR).</w:t>
      </w:r>
    </w:p>
    <w:p>
      <w:r>
        <w:rPr>
          <w:b/>
        </w:rPr>
        <w:t>E. 3</w:t>
      </w:r>
    </w:p>
    <w:p>
      <w:r>
        <w:t>Le recourant conteste présenter un risque de récidive.![endif]&gt;![if&gt;</w:t>
      </w:r>
    </w:p>
    <w:p>
      <w:r>
        <w:rPr>
          <w:b/>
        </w:rPr>
        <w:t>E. 3.1</w:t>
      </w:r>
    </w:p>
    <w:p>
      <w:r>
        <w:t>Pour admettre un risque de récidive au sens de l'art. 221 al. 1 let. c CPP, les infractions redoutées, tout comme les antécédents, doivent être des crimes ou des délits graves, au premier chef les délits de violence (ATF 143 IV 9 consid. 2.3.1 p. 13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p. 13; 137 IV 84 consid. 3.2 p. 86; arrêt du Tribunal fédéral 1B_413/2019 du 11 septembre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Le risque de récidive peut également se fonder sur les infractions faisant l'objet de la procédure pénale en cours, si le prévenu est fortement soupçonné – avec une probabilité confinant à la certitude – de les avoir commises (ATF 143 IV 9 consid. 2.3.1 p. 12 s.). ![endif]&gt;![if&gt;</w:t>
      </w:r>
    </w:p>
    <w:p>
      <w:r>
        <w:rPr>
          <w:b/>
        </w:rPr>
        <w:t>E. 3.2</w:t>
      </w:r>
    </w:p>
    <w:p>
      <w:r>
        <w:t>En l'espèce, c'est à juste titre que le premier juge a opposé au recourant un risque concret de réitération. ![endif]&gt;![if&gt; Les deux condamnations du recourant – similaires à celles en cours d'instruction – ont été prononcées dans des délais suffisamment récents et rapprochés pour laisser craindre que le recourant ne retombe dans la délinquance routière. L'une est définitive, et l'autre n'est contestée que sur la sanction. Or, il existe un intérêt public prépondérant à sauvegarder la sécurité publique, quand bien même aucune mise en danger concrète d'autrui ne ressort du dossier. On ne peut créditer le recourant de ses promesses, récentes, de cesser des infractions qu'il conteste par ailleurs. En mars 2022 en tout cas, il n'a pas craint de reprendre le guidon et de dérober des plaques de contrôle, alors qu'il avait été condamné une première fois pour avoir enfreint le code de la route et qu'il se savait toujours sous le coup d'un retrait de permis.</w:t>
      </w:r>
    </w:p>
    <w:p>
      <w:r>
        <w:rPr>
          <w:b/>
        </w:rPr>
        <w:t>E. 4</w:t>
      </w:r>
    </w:p>
    <w:p>
      <w:r>
        <w:t>Le risque de réitération suffisant à permettre la détention avant jugement, point n'est besoin d'examiner le risque de collusion (arrêt du Tribunal fédéral 1B_322/2019 du 17 juillet 2019 consid. 3.3.). Quant au risque de fuite, auquel le recourant consacre des arguments, il n'a pas été invoqué par les autorités précédentes.![endif]&gt;![if&gt;</w:t>
      </w:r>
    </w:p>
    <w:p>
      <w:r>
        <w:rPr>
          <w:b/>
        </w:rPr>
        <w:t>E. 5</w:t>
      </w:r>
    </w:p>
    <w:p>
      <w:r>
        <w:t>Le recourant propose en vain des mesures de substitution (art. 237 ss. CPP).![endif]&gt;![if&gt; Il a perdu son emploi et n'a pas étayé avoir progressé dans la recherche d'une nouvelle place. La mise sous mains de justice du motocycle en vue de confiscation (cf. art. 90 a LCR) ne paraît pas apte à prévenir toute réitération, p. ex. au moyen d'un engin similaire, d'autant que le recourant a montré que sa détermination à conduire n'était entravée ni par le retrait de permis, ni par l'absence d'immatriculation. Parce que le recourant ne l'explicite pas, on ignore quel serait le but d'un suivi ambulatoire psychologique : les infractions sont niées, et son envie, fût-elle irrésistible, de braver la loi et d'éprouver les griseries de la vitesse ne s'assimilent pas sans autre à un trouble de comportement. Du reste, le recourant ne met pas en doute sa responsabilité pénale.</w:t>
      </w:r>
    </w:p>
    <w:p>
      <w:r>
        <w:rPr>
          <w:b/>
        </w:rPr>
        <w:t>E. 6</w:t>
      </w:r>
    </w:p>
    <w:p>
      <w:r>
        <w:t>La durée de la détention provisoire, telle que fixée dans l'ordonnance attaquée, est raisonnable. Le cumul d'infractions montre que la peine concrètement prévisible, si le recourant était reconnu coupable de toutes les préventions retenues contre lui, n'est pas encore atteinte (art. 212 al. 3 CPP).![endif]&gt;![if&gt;</w:t>
      </w:r>
    </w:p>
    <w:p>
      <w:r>
        <w:rPr>
          <w:b/>
        </w:rPr>
        <w:t>E. 7</w:t>
      </w:r>
    </w:p>
    <w:p>
      <w:r>
        <w:t>Le recours s'avère ainsi infondé et doit être rejeté.![endif]&gt;![if&gt;</w:t>
      </w:r>
    </w:p>
    <w:p>
      <w:r>
        <w:rPr>
          <w:b/>
        </w:rPr>
        <w:t>E. 8</w:t>
      </w:r>
    </w:p>
    <w:p>
      <w:r>
        <w:t>Le recourant, bien qu'au bénéfice de l'assistance juridique, supportera les frais de la procédure de recours (art. 428 al. 1 CPP; arrêts du Tribunal fédéral 1B_203/2011 du 18 mai 2011 consid. 4 et 1B_372/2014 du 8 avril 2015 consid. 4.6). Ces frais seront arrêtés en totalité à CHF 900.- (art. 13 al. 1 du Règlement fixant le tarif des frais en matière pénale, RTFMP; E 4 10.03).![endif]&gt;![if&gt;</w:t>
      </w:r>
    </w:p>
    <w:p>
      <w:r>
        <w:rPr>
          <w:b/>
        </w:rPr>
        <w:t>E. 9</w:t>
      </w:r>
    </w:p>
    <w:p>
      <w:r>
        <w:t>Il n'y a pas lieu d'indemniser à ce stade le défenseur d'office (art. 135 al. 2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