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P/5431/2021 vom 19. Januar 2022</w:t>
      </w:r>
    </w:p>
    <w:p>
      <w:r>
        <w:t>GE Cour de justice, 2022-01-19, FR</w:t>
      </w:r>
    </w:p>
    <w:p>
      <w:r>
        <w:rPr>
          <w:b/>
        </w:rPr>
        <w:t xml:space="preserve">Quelle: </w:t>
      </w:r>
      <w:r>
        <w:t>https://mcp.opencaselaw.ch/entscheid/ge_gerichte_P_5431_2021</w:t>
      </w:r>
    </w:p>
    <w:p>
      <w:r>
        <w:t>FR: GE_GERICHTE P/5431/2021 du 19 janvier 2022</w:t>
      </w:r>
    </w:p>
    <w:p>
      <w:r>
        <w:t>IT: GE_GERICHTE P/5431/2021 del 19 gennaio 2022</w:t>
      </w:r>
    </w:p>
    <w:p>
      <w:pPr>
        <w:pStyle w:val="Heading2"/>
      </w:pPr>
      <w:r>
        <w:t>Regeste</w:t>
      </w:r>
    </w:p>
    <w:p>
      <w:r>
        <w:t>DÉTENTION PROVISOIRE;RISQUE DE FUITE;RISQUE DE COLLUSION;MESURE DE SUBSTITUTION À LA DÉTENTION;SÛRETÉS;PROPORTIONNALITÉ | CPP.221; CPP.237; CPP.238; LStup.19; CP.197.al4</w:t>
      </w:r>
    </w:p>
    <w:p>
      <w:pPr>
        <w:pStyle w:val="Heading2"/>
      </w:pPr>
      <w:r>
        <w:t>Erwägungen</w:t>
      </w:r>
    </w:p>
    <w:p>
      <w:r>
        <w:rPr>
          <w:b/>
        </w:rPr>
        <w:t>E. 1.1</w:t>
      </w:r>
    </w:p>
    <w:p>
      <w:r>
        <w:t>Le recours est recevable pour avoir été déposé selon la forme et dans le délai prescrits (art. 385 al. 1 et 396 al. 1 CPP) – conformément à la pratique admise (arrêts du Tribunal fédéral 5P.113/2005 consid. 3.1; 5A_267/2008 du 16 octobre 2008 consid. 2 et 3; 6B_157/2020 du 07 février 2020 –,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Toutefois, les conclusions constatatoires n'ont pas leur place dans un recours en matière de détention ( ACPR/754/2021 ; ACPR/657/2021 ; ACPR/4/2021 ). Selon un principe général de procédure, les conclusions constatatoires ont, en effet, un caractère subsidiaire et ne sont recevables que lorsque des conclusions condamnatoires ou formatrices sont exclues (ATF 141 IV 349 consid. 3.4.2; arrêts du Tribunal fédéral 6B_445/2020 du 29 juin 2020 consid. 1.2 et 1B_102/2015 du 29 avril 2015 consid. 1.1.1). Partant, seule la conclusion du recourant visant à obtenir sa mise en liberté immédiate est recevable.</w:t>
      </w:r>
    </w:p>
    <w:p>
      <w:r>
        <w:rPr>
          <w:b/>
        </w:rPr>
        <w:t>E. 2</w:t>
      </w:r>
    </w:p>
    <w:p>
      <w:r>
        <w:t>Le recourant invoque une diminution des charges retenues contre lui.</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si le recourant nie tout lien avec les stupéfiants retrouvés dans l'appartement de C______ à la route 1______ en mars 2021, force est de constater qu'il ne conteste pas que la drogue retrouvée dans son propre appartement lui appartient ni d'avoir, à tout le moins jusqu'en janvier 2021, instruit le précité pour qu'il vende des stupéfiants, notamment aux clients auxquels il avait fourni les coordonnées du susnommé. Par ailleurs, ses déclarations ont largement fluctué. Il a finalement, dans ses récentes déclarations, orales et écrites, exposé avoir acheté à G______, en octobre 2020, 40 grammes de crystal meth à " D______ " qu'il avait importés en Suisse et vendus à des clients à Genève. Par la suite, il dit avoir acheté à " D______ " une plus grande quantité de cette drogue, qu'il avait importée en Suisse après l'avoir récupérée en France. Ne souhaitant pas vendre lui-même ces stupéfiants – qu'il avait toutefois conservés à son domicile, avenue 2______ –, il avait convenu avec " D______ " d'initier C______ au marché genevois, l'accueillant à Genève, mettant à sa disposition un logement et une voiture, et en remettant à ses clients les coordonnées du précité pour qu'ils se fournissent auprès de lui, à l'instar de E______. En novembre 2020, il dit être encore allé récupérer en France C______ qui revenait de G______ avec une nouvelle quantité de drogue, qu'il aurait stockée dans son appartement, à l’avenue 2______, étant relevé qu'à ce moment-là C______ était toujours logé dans l'appartement mis à sa disposition par le recourant et disposait toujours de la voiture louée à son nom de ce dernier. Il s'ensuit que même en faisant, cas échéant, abstraction de la drogue découverte dans l'appartement de C______, pour laquelle les déclarations des prévenus demeurent en l'état contradictoires, il ressort des aveux du recourant et des éléments au dossier qu'il a bel et bien importé et vendu, personnellement, puis par l'intermédiaire de C______, en le supervisant et mettant à sa disposition les moyens pour le faire, une grande quantité de stupéfiants, en particulier de la crystal meth, entre octobre 2020 et à tout le moins janvier 2021. Les charges ne se sont donc nullement amoindries et demeurent suffisantes au sens de l'art. 221 al. 1 1 ère phrase CPP. L'instruction en cours vise à circonscrire les rôles respectifs des prévenus, en particulier l'éventuel lien du recourant avec les stupéfiants retrouvés chez C______. La question de savoir si les actes d'instruction envisagés par le Ministère public nécessitent le maintien en détention provisoire du recourant pour la durée ordonnée sera examinée ci-après ( consid. 7 infra ).</w:t>
      </w:r>
    </w:p>
    <w:p>
      <w:r>
        <w:rPr>
          <w:b/>
        </w:rPr>
        <w:t>E. 3</w:t>
      </w:r>
    </w:p>
    <w:p>
      <w:r>
        <w:t>Le recourant conteste le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3.2</w:t>
      </w:r>
    </w:p>
    <w:p>
      <w:r>
        <w:t>En l'espèce, si le recourant habite et travaille certes à Genève depuis novembre 2015, il n'a pas d'attaches particulières en Suisse. Célibataire, il n'y a, selon ses propres déclarations, pas d'amis proches ni de réseau social fort. Son père et sa sœur vivent en Angleterre, pays dans lequel il a vécu et étudié durant plus de vingt ans. Il a, en outre, vécu de 2009 à 2014 aux Pays-Bas, pays dans lequel il a créé des attaches fortes puisqu'il y a même fait l'acquisition d'un appartement, qu'il aurait, selon ses dires, vendu en 2020 ou 2021. Au vu des charges graves qui pèsent sur lui, tant au regard de la LStup que de la pédopornographie – laquelle vise selon l'art. 197 al. 4 2 ème phrase CP la représentation d'actes d'ordre sexuel effectifs avec des mineurs – le risque est très grand, et concret, que le recourant ne décide, en dépit de son emploi à Genève, de quitter la Suisse pour rejoindre son pays d'origine ou les Pays-Bas.</w:t>
      </w:r>
    </w:p>
    <w:p>
      <w:r>
        <w:rPr>
          <w:b/>
        </w:rPr>
        <w:t>E. 4</w:t>
      </w:r>
    </w:p>
    <w:p>
      <w:r>
        <w:t>Le recourant conteste le risque de collusion.</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4.2</w:t>
      </w:r>
    </w:p>
    <w:p>
      <w:r>
        <w:t>En l'espèce, le risque de collusion entre le recourant et C______ n'est en l'état que relatif car si le premier venait à être libéré et pas le second, le contact entre les deux continuerait d'être évité. Un risque concret et important existe bien plutôt à l'égard de la clientèle qu'il est reproché au recourant d'avoir mise à la disposition de son co-prévenu. C'est donc à bon droit que le TMC a retenu qu'il y avait lieu d'éviter, par le maintien du prévenu en détention provisoire, tout contact avec ces personnes, à tout le moins jusqu'à leur audition et leur confrontation.</w:t>
      </w:r>
    </w:p>
    <w:p>
      <w:r>
        <w:rPr>
          <w:b/>
        </w:rPr>
        <w:t>E. 5</w:t>
      </w:r>
    </w:p>
    <w:p>
      <w:r>
        <w:t>Le recourant conteste le risque de réitération, mais ce dernier n'a pas été retenu par les précédentes autorités, de sorte qu'il ne sera pas examiné, étant relevé que la réalisation d'un seul des risques – alternatifs – prévus à l'art. 221 al. 1 CPP suffit.</w:t>
      </w:r>
    </w:p>
    <w:p>
      <w:r>
        <w:rPr>
          <w:b/>
        </w:rPr>
        <w:t>E. 6</w:t>
      </w:r>
    </w:p>
    <w:p>
      <w:r>
        <w:t>Le recourant reproche au TMC de ne pas avoir ordonné des mesures de substitution.</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(arrêt du Tribunal fédéral 1B_654/2011 du 7 décembre 2011 consid. 4.2).</w:t>
      </w:r>
    </w:p>
    <w:p>
      <w:r>
        <w:rPr>
          <w:b/>
        </w:rPr>
        <w:t>E. 6.2</w:t>
      </w:r>
    </w:p>
    <w:p>
      <w:r>
        <w:t>À teneur de l'art. 238 CPP, le tribunal peut, s'il y a danger de fuite, astreindre le prévenu au versement d'une somme d'argent afin de garantir qu'il se présentera aux actes de procédure et se soumettra à l'exécution d'une sanction privative de liberté (al.1). Le montant des sûretés dépend de la gravité des actes reprochés au prévenu et de sa situation personnelle (al. 2). Selon la jurisprudence, le caractère approprié de la garantie doit être apprécié notamment "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 (ATF 105 Ia 186 consid. 4a p. 187, citant l'arrêt CourEDH Neumeister c. Autriche du 27 juin 1968, Série A, vol. 7, par. 14; cf. arrêt 1P_165/2006 du 19 avril 2006 consid. 3.2.1, publié in SJ 2006 I p. 395). Si la caution doit être fournie par un tiers, il y a lieu de prendre en considération les relations personnelles et financières du prévenu avec cette personne (arrêt 1P_690/2004 du 14 décembre 2004 consid. 2.4.3 et les références).</w:t>
      </w:r>
    </w:p>
    <w:p>
      <w:r>
        <w:rPr>
          <w:b/>
        </w:rPr>
        <w:t>E. 6.3</w:t>
      </w:r>
    </w:p>
    <w:p>
      <w:r>
        <w:t>En l'espèce, le risque de fuite est d'une intensité telle que ni le dépôt des pièces d'identité ni l'obligation de présentation à un poste de police, pas plus que le port d'un bracelet électronique, ne seraient aptes à empêcher la fuite dans un autre pays par voie terrestre, au vu de l'exiguïté du territoire. Ces mesures ne permettraient que de la constater. Le versement de sûretés pourrait en revanche détourner le recourant d'un projet de fuite. Il y aurait toutefois lieu, dans cette perspective, d'examiner de manière plus approfondie les relations personnelles et financières du recourant avec son père, afin de déterminer la force dissuasive de la caution proposée, étant relevé que la somme de CHF 20'000.- alléguée paraît bien dérisoire, tant au regard de la gravité des charges pesant sur le recourant que des moyens financiers manifestes de son père, avocat en Angleterre. Quoi qu'il en soit, aucune mesure autre que la détention n'est apte à pallier le risque important de collusion avec les clients non encore entendus, en particulier pas l'interdiction de contact suggérée par le recourant, de sorte que l'ordonnance querellée n'est pas critiquable sur ce point.</w:t>
      </w:r>
    </w:p>
    <w:p>
      <w:r>
        <w:rPr>
          <w:b/>
        </w:rPr>
        <w:t>E. 7</w:t>
      </w:r>
    </w:p>
    <w:p>
      <w:r>
        <w:t>Le recourant invoque une violation du principe de la proportionnalité.</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7.2</w:t>
      </w:r>
    </w:p>
    <w:p>
      <w:r>
        <w:t>En l'espèce, il convient d'examiner si la durée de la détention provisoire ordonnée – trois mois – est proportionnée aux actes d'instruction envisagés par le Ministère public. En l'occurrence, la confrontation des prévenus, annoncée pour le 20 décembre 2021, a eu lieu. Le rapport de la comparaison de l'ADN du recourant avec les traces recueillies sur les sachets de drogue saisis chez son co-prévenu, ordonnée en novembre 2021, ne saurait tarder, et il y aura lieu de le confronter aux résultats obtenus. À teneur du dossier remis à la Chambre de céans, la seule CRI adressée aux Pays-Bas concerne l'obtention du casier judiciaire de C______, acte d'instruction dont l'obtention du résultat ne saurait justifier le maintien en détention du recourant – même si l'on peine à comprendre pourquoi une telle démarche n'a pas été entreprise pour le recourant également, puisqu'il résulte du dossier qu'il aurait été condamné dans ce pays –. Le Ministère public, tout en retenant un risque de collusion " jusqu'à l'audience de jugement " avec les clients auxquels le recourant a donné les coordonnées de C______, ainsi qu'avec le dénommé " D______ ", n'annonce aucun acte d'instruction à leur égard et le dossier est muet sur ce point. L'audition des premiers a été retenue par le TMC pour fonder un risque de collusion, mais le Ministère public ne l'a pas confirmée dans ses observations au recours, dans lesquelles il se borne à exposer que l'instruction " n'est pas terminée ", sans autre précision. Il s'ensuit qu'à teneur des actes d'instruction envisagés par le Ministère public, la prolongation de la détention provisoire pour une durée de trois mois paraît excessive, de sorte qu'elle sera ramenée à deux mois, soit au 23 février 2022, à charge pour l'autorité, après avoir entendu le recourant sur le résultat des comparaisons ADN et sur ses déclarations écrites annexées au procès-verbal d'audition du 2 novembre 2021 – sur le contenu desquelles il ne paraît pas avoir été interrogé –, de se déterminer sur la suite de l'instruction.</w:t>
      </w:r>
    </w:p>
    <w:p>
      <w:r>
        <w:rPr>
          <w:b/>
        </w:rPr>
        <w:t>E. 8</w:t>
      </w:r>
    </w:p>
    <w:p>
      <w:r>
        <w:t>Le recours sera ainsi partiellement admis. Partant, l'ordonnance querellée sera annulée en ce qu'elle a fixé la prolongation de la détention au 23 mars 2022, celle-ci étant ramenée au 23 février 2022.</w:t>
      </w:r>
    </w:p>
    <w:p>
      <w:r>
        <w:rPr>
          <w:b/>
        </w:rPr>
        <w:t>E. 9</w:t>
      </w:r>
    </w:p>
    <w:p>
      <w:r>
        <w:t>En tant que le recourant obtient partiellement gain de cause, les frais de l'instance seront laissés à la charge de l'État.</w:t>
      </w:r>
    </w:p>
    <w:p>
      <w:r>
        <w:rPr>
          <w:b/>
        </w:rPr>
        <w:t>E. 10</w:t>
      </w:r>
    </w:p>
    <w:p>
      <w:r>
        <w:t>Le recourant plaide bénéfice d'une défense d'office.</w:t>
      </w:r>
    </w:p>
    <w:p>
      <w:r>
        <w:rPr>
          <w:b/>
        </w:rPr>
        <w:t>E. 10.1</w:t>
      </w:r>
    </w:p>
    <w:p>
      <w:r>
        <w:t>La désignation d'un conseil d'office pour la procédure pénale principale n'est pas un blanc-seing pour introduire des recours aux frais de l'État, notamment contre des décisions de détention provisoire (arrêt du Tribunal fédéral 1B_516/2020 précité consid.</w:t>
      </w:r>
    </w:p>
    <w:p>
      <w:r>
        <w:rPr>
          <w:b/>
        </w:rPr>
        <w:t>E. 10.2</w:t>
      </w:r>
    </w:p>
    <w:p>
      <w:r>
        <w:t>En l'espèce, au vu de l'issue du recours, l'assistance juridique sera accordée pour le recours, et l'indemnité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