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P/5429/2018 vom 29. März 2019</w:t>
      </w:r>
    </w:p>
    <w:p>
      <w:r>
        <w:t>GE Cour de justice, 2019-03-29, FR</w:t>
      </w:r>
    </w:p>
    <w:p>
      <w:r>
        <w:rPr>
          <w:b/>
        </w:rPr>
        <w:t xml:space="preserve">Quelle: </w:t>
      </w:r>
      <w:r>
        <w:t>https://mcp.opencaselaw.ch/entscheid/ge_gerichte_P_5429_2018</w:t>
      </w:r>
    </w:p>
    <w:p>
      <w:r>
        <w:t>FR: GE_GERICHTE P/5429/2018 du 29 mars 2019</w:t>
      </w:r>
    </w:p>
    <w:p>
      <w:r>
        <w:t>IT: GE_GERICHTE P/5429/2018 del 29 marzo 2019</w:t>
      </w:r>
    </w:p>
    <w:p>
      <w:pPr>
        <w:pStyle w:val="Heading2"/>
      </w:pPr>
      <w:r>
        <w:t>Regeste</w:t>
      </w:r>
    </w:p>
    <w:p>
      <w:r>
        <w:t>OPPOSITION À UN ACTE DE L'AUTORITÉ | LEI.115; CP.286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L'appelant, qui succombe pour l'essentiel, supportera les trois-quarts des frais de la procédure envers l'État (art. 428 CPP). Le solde sera laissé à charge de l'Etat.</w:t>
      </w:r>
    </w:p>
    <w:p>
      <w:r>
        <w:rPr>
          <w:b/>
        </w:rPr>
        <w:t>E. 5</w:t>
      </w:r>
    </w:p>
    <w:p>
      <w:r>
        <w:t>Considéré globalement, l'état de frais produit par le défenseur d'office de l'appelant paraît adéquat et conforme aux dispositions et principes régissant l'assistance judiciaire pénale. Sa rémunération sera ainsi arrêtée à CHF 827.15 pour une heure d'activité au tarif de CHF 200.-/heure et quatre heures d'activité au tarif de CHF 110.-/heure plus la majoration forfaitaire de 20% et la TVA au taux de 7.7% en CHF 59.15.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