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P/5417/2011 vom 1. November 2018</w:t>
      </w:r>
    </w:p>
    <w:p>
      <w:r>
        <w:t>GE Cour de justice, 2018-11-01, FR</w:t>
      </w:r>
    </w:p>
    <w:p>
      <w:r>
        <w:rPr>
          <w:b/>
        </w:rPr>
        <w:t xml:space="preserve">Quelle: </w:t>
      </w:r>
      <w:r>
        <w:t>https://mcp.opencaselaw.ch/entscheid/ge_gerichte_P_5417_2011</w:t>
      </w:r>
    </w:p>
    <w:p>
      <w:r>
        <w:t>FR: GE_GERICHTE P/5417/2011 du 1 novembre 2018</w:t>
      </w:r>
    </w:p>
    <w:p>
      <w:r>
        <w:t>IT: GE_GERICHTE P/5417/2011 del 1 novembre 2018</w:t>
      </w:r>
    </w:p>
    <w:p>
      <w:pPr>
        <w:pStyle w:val="Heading2"/>
      </w:pPr>
      <w:r>
        <w:t>Regeste</w:t>
      </w:r>
    </w:p>
    <w:p>
      <w:r>
        <w:t>INDEMNITÉ(EN GÉNÉRAL) | CP.173</w:t>
      </w:r>
    </w:p>
    <w:p>
      <w:pPr>
        <w:pStyle w:val="Heading2"/>
      </w:pPr>
      <w:r>
        <w:t>Erwägungen</w:t>
      </w:r>
    </w:p>
    <w:p>
      <w:r>
        <w:rPr>
          <w:b/>
        </w:rPr>
        <w:t>E. 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2.1.1. Selon l'art. 428 al. 1 CPP, les frais de la procédure de recours sont mis à la charge des parties dans la mesure où elles ont obtenu gain de cause ou succombé. Le prévenu qui ne bénéficie pas d'un acquittement ou d'un classement mais qui, sur recours, obtient gain de cause sur un autre point, a droit à une indemnité pour les dépenses occasionnées par l'exercice raisonnable de ses droits de procédure (art. 436 al. 2 CPP). La question de l'indemnisation du prévenu doit être traitée en relation avec celle des frais. Si le prévenu les supporte, une indemnité est en règle générale exclue. Dans le cas contraire, il a en principe droit à une indemnité (ATF 137 IV 352 consid. 2.4.2 et arrêt de renvoi 6B_472/2018 consid. 1.1). Dans cette mesure, la décision sur les frais préjuge de la question de l'indemnisation (arrêts du Tribunal fédéral 6B_620/2016 du 17 mai 2017 consid. 2.2.1 et 6B_792/2016 du 18 avril 2017 consid. 3.3). 2.1.2. 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L'indemnité pour les frais de défense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 collaborateur et de CHF 150.- pour le stagiaire ( AARP/188/2018 du 21 juin 2018 consid. 8.1 et AARP/375/2017 du 30 octobre 2017 consid. 4.1).</w:t>
      </w:r>
    </w:p>
    <w:p>
      <w:r>
        <w:rPr>
          <w:b/>
        </w:rPr>
        <w:t>E. 2.2</w:t>
      </w:r>
    </w:p>
    <w:p>
      <w:r>
        <w:t>En l'espèce, l'appelant a obtenu partiellement gain de cause dans le cadre de la première procédure d'appel, soit une réduction des montants des dommages-intérêts et du tort moral alloués à la partie plaignante. Deux tiers des frais ont été mis à sa charge. Cette répartition, dont le prévenu a renoncé à se plaindre devant le Tribunal fédéral, est définitive. L'appelant peut ainsi prétendre à une indemnité correspondant à un tiers de ses frais de défense en appel, s'élevant, si l'on se réfère aux notes d'honoraires produites à ce stade de la procédure, à CHF 53'041.70 au total, dont le tiers représente CHF 17'680.55. Dans le cadre de la procédure consécutive au premier renvoi du Tribunal fédéral, l'appelant a obtenu une réduction de peine et les frais ont été entièrement laissés à la charge de l'Etat, de sorte qu'il peut prétendre à l'indemnisation de l'intégralité de ses frais de défense, chiffrés à CHF 900.-. Les sommes précitées excèdent largement les conclusions en indemnisation prises par l'appelant, de CHF 10'166.- au total (CHF 9'266.- + CHF 900.-). Il y sera dès lors fait droit, sans qu'il n'y ait encore lieu d'examiner si tous les postes de la volumineuse activité de son conseil en appel étaient nécessaires à la défense de ses intérêts, ou encore si les frais forfaitaires inclus dans les notes d'honoraires sont admissibles. Le tarif horaire appliqué est au surplus conforme à la jurisprudence susmentionnée.</w:t>
      </w:r>
    </w:p>
    <w:p>
      <w:r>
        <w:rPr>
          <w:b/>
        </w:rPr>
        <w:t>E. 3</w:t>
      </w:r>
    </w:p>
    <w:p>
      <w:r>
        <w:t>L'appelant obtenant gain de cause, les frais de la présente procédure consécutive au second renvoi du Tribunal fédéral seront laissés à la charge de l'Etat. Il est en conséquence fondé à obtenir l'indemnisation de ses frais de défense, raisonnablement chiffrés à CHF 150.- pour une activité de son conseil de 20 minutes. Conformément à l'art. 442 al. 4 CPP, les indemnités allouées à l'appelant dans le présent arrêt seront compensées avec les frais de procédure mis à sa charge en première instance et en appel (ATF 143 IV 293 consid. 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