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P/5379/2012 vom 16. Januar 2017</w:t>
      </w:r>
    </w:p>
    <w:p>
      <w:r>
        <w:t>GE Cour de justice, 2017-01-16, FR</w:t>
      </w:r>
    </w:p>
    <w:p>
      <w:r>
        <w:rPr>
          <w:b/>
        </w:rPr>
        <w:t xml:space="preserve">Quelle: </w:t>
      </w:r>
      <w:r>
        <w:t>https://mcp.opencaselaw.ch/entscheid/ge_gerichte_P_5379_2012</w:t>
      </w:r>
    </w:p>
    <w:p>
      <w:r>
        <w:t>FR: GE_GERICHTE P/5379/2012 du 16 janvier 2017</w:t>
      </w:r>
    </w:p>
    <w:p>
      <w:r>
        <w:t>IT: GE_GERICHTE P/5379/2012 del 16 gennaio 2017</w:t>
      </w:r>
    </w:p>
    <w:p>
      <w:pPr>
        <w:pStyle w:val="Heading2"/>
      </w:pPr>
      <w:r>
        <w:t>Regeste</w:t>
      </w:r>
    </w:p>
    <w:p>
      <w:r>
        <w:t>PRINCIPE DE L'ACCUSATION ; NATURE JURIDIQUE ; IN DUBIO PRO REO ; NE BIS IN IDEM ; ABUS DE CONFIANCE ; GESTION DÉLOYALE ; FIXATION DE LA PEINE ; CONCOURS D'INFRACTIONS ; PRONOSTIC ; SURSIS PARTIEL À L'EXÉCUTION DE LA PEINE ; DIRECTIVE(INJONCTION) ; LITISPENDANCE ; DÉPENS ; FRAIS DE LA PROCÉDURE | CP158.1.1; CP158.1.3; CP138.1; CP47; CPP9; CPP350; CPP344; CPP11; CPP429; CPP423; CPP433; CPP442.4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9 CPP consacre la maxime d'accusation. Aux termes de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afin qu'il puisse s'expliquer et préparer efficacement sa défense (ATF 140 IV 188 consid. 1.3 p. 190 ; ATF 133 IV 235 consid. 6.2 p. 244 ; arrêt du Tribunal fédéral 6B_58/2016 du 18 août 2016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w:t>
      </w:r>
    </w:p>
    <w:p>
      <w:r>
        <w:rPr>
          <w:b/>
        </w:rPr>
        <w:t>E. 2.2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2.3</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 est garanti par l'art. 4 § 1 du Protocole additionnel n° 7 à la Convention de sauvegarde des droits de l'homme et des libertés fondamentales (RS 0.101.07) ainsi que par l'art. 14 § 7 du Pacte international relatif aux droits civils et politiques (RS 0.103.2). Il découle en outre implicitement de la Constitution fédérale (ATF 137 I 363 consid. 2.1 p. 365). Enfin, sous la note marginale "interdiction de la double poursuite", l'art. 11 al. 1 CPP prévoit également qu'aucune personne condamnée ou acquittée en Suisse par un jugement entré en force ne peut être poursuivie une nouvelle fois pour la même infraction. Ce principe, qui est un corollaire de l'autorité de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(arrêt du Tribunal fédéral 6B_503/2015 du 24 mai 2016 consid. 1 destiné à la publication). Outre l'identité des faits, l'autorité de chose jugée et le principe ne bis in idem supposent également qu'il y ait identité de l'objet de la procédure et de la personne visée (cf. ATF 125 II 402 consid. 1b p. 404 ; 120 IV 10 consid. 2b p. 12 s; 119 Ib 311 consid. 3a p. 318 ; 118 IV 269 consid. 2 p. 271 ; arrêt du Tribunal fédéral 6B_1029/2010 du 18 avril 2011 consid. 1.1).</w:t>
      </w:r>
    </w:p>
    <w:p>
      <w:r>
        <w:rPr>
          <w:b/>
        </w:rPr>
        <w:t>E. 2.4</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121 IV 23 consid. 1c p. 25 ; arrêt du Tribunal fédéral 6B_17/2009 du 16 mars 2009 consid 2.1.1.). Dans le cas particulier d'un prêt, les valeurs patrimoniales ne représentent qu'exceptionnellement des valeurs appartenant à autrui, confiées à l'emprunteur, soit lorsque leur affectation et clairement prédéfinie et sert à assurer la couverture du risque du prêteur ou, à tout le moins, à diminuer son risque de perte. L'affectation convenue doit donc représenter en elle-même une forme de garantie (ATF 129 IV 257 consid. 2.2.3 et 2.3 ; M. DUPUIS / B. GELLER / G. MONNIER / L. MOREILLON / C. PIGUET / C. BETTEX / D. STOLL (éds), Code pénal - Petit commentaire , Bâle 2012, n. 35 ad art. 138). L'infraction d'abus de confiance absorbe en règle générale l'infraction de gestion déloyale de l'art. 158 CP (ATF 111 IV 60 consid. 3a p. 62).</w:t>
      </w:r>
    </w:p>
    <w:p>
      <w:r>
        <w:rPr>
          <w:b/>
        </w:rPr>
        <w:t>E. 2.5</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Le gérant d'affaires qui, sans mandat, aura agi de même encourra la même peine (al. 2). La peine sera aggravée si l'auteur a agi dans le dessein de se procurer ou de procurer à un tiers un enrichissement illégitime (al. 3). Sur le plan objectif, l'infraction de gestion déloyale au sens de l'art. 158 ch. 1 CP suppose la réunion de quatre éléments, à savoir un devoir de gestion ou de sauvegarde, la violation de ce devoir, un dommage et l'intention.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En règle générale, une qualité de gérant est reconnue aux organes ou membres d'organes de sociétés commerciales. Selon la jurisprudence, l'homme de paille n'est pas exonéré de toute responsabilité dans le cadre de l'art. 158 CP, du fait qu'un tiers lui a prescrit le comportement à adopter (ATF 105 IV 106 consid. 2 p. 110 ; arrêts du Tribunal fédéral 6B_494/2015 du 25 mai 2016 consid. 2.1 ; 6B_223/2010 du 13 janvier 2011 consid. 3.3.1 ; 6B_66/2008 du 9 mai 2008 consid. 6.3.2). Celui qui, en droit, assume des obligations, doit en répondre et ne peut dégager sa responsabilité qu'en se démettant de ses fonctions. Il ne peut invoquer à décharge sa dépendance à l'égard d'autres responsables, fussent-ils ses employeurs (ATF 105 IV 106 consid. 2 p. 110).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spéc. p. 193 ; 105 IV 307 consid. 3 p. 312 s).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du Tribunal fédéral 6B_845/2014 du 16 mars 2015 consid. 3.2, 6B_223/2010 du 13 janvier 2011 consid. 3.3.2 et 6B_446/2010 du 14 janvier 2010 consid. 8.4.1). L'infraction de gestion déloyale n'est consommée que s'il y a eu un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122 IV 279 consid. 2a p. 281 ; 121 IV 104 consid. 2c p. 107 ; arrêt du Tribunal fédéral 6B_845/2014 du 16 mars 2015 consid. 3.3) ; un préjudice temporaire suffit. Il n'est pas nécessaire que le dommage corresponde à l'enrichissement de l'auteur, ni qu'il soit chiffré ; il suffit qu'il soit certain (cf. ATF 123 IV 17 consid. 3d p. 22 ; 122 IV 279 consid. 2a ; 121 IV 104 consid. 2c p. 107). Il n'existe que lorsque la personne lésée a un droit protégé par le droit civil à la compensation du dommage subi. Sur le plan subjectif, l'infraction est intentionnelle. Le dol éventuel suffit, mais il doit être caractérisé vu l'imprécision des éléments constitutifs objectifs de cette infraction (ATF 123 IV 17 consid. e ; 120 IV 190 consid. 2b.). Le dessein d'enrichissement illégitime est érigé en circonstance aggravante (art. 158 ch. 1 al. 3 CP). 2.6.1. Les premiers juges ont retenu que, sur la somme de CHF 50'000.- versée par J______ sur le compte de N______, seuls CHF 10'000.- pouvaient être tenus pour avoir connu un sort pénalement relevant au regard des options prises dans l'ordonnance pénale valant acte d'accusation. Ces fonds étaient destinés à M______, en contrepartie de la souscription du capital-actions, mais avaient été utilisés par l'appelant, pourtant administrateur et partant gérant de la société, pour couvrir ses charges personnelles ou les frais d'une autre société, N______, d'où la commission d'une infraction de gestion déloyale aggravée, mais ce au détriment de M______, J______ ne subissant qu'un préjudice indirect. 2.6.2. Les griefs de nature procédurale développés par l'appelant à l'encontre de ce point du jugement doivent être écartés. 2.6.2.1. Tous les faits pertinents ayant permis aux premiers juges de fonder le raisonnement qui précède, sont bien évoqués dans l'ordonnance pénale valant acte d'accusation. Il est en particulier retenu que l'appelant était l'administrateur de M______, qu'un montant de CHF 10'000.- payé par J______ était destiné à la libération du capital social de cette société, et que l'intégralité de la somme versée par elle, incluant ledit montant, a été utilisée à des dépenses personnelles et professionnelles de l'appelant. En retenant que se sont ses devoirs de gérant à l'égard de M______, à laquelle les fonds étaient destinés en contrepartie des actions, que l'intéressé avait violé et qu'une infraction de gestion déloyale aggravée avait dès lors bien été commise, mais au détriment de cette société plutôt que de J______ (à tout le moins directement), les premiers juges se sont uniquement livrés à une interprétation juridique des faits différente de celle proposée par le MP, ce qui ne contrevient pas au principe d'accusation. 2.6.2.2. La conviction de l'appelant selon laquelle le Tribunal fédéral aurait communiqué au Tribunal correctionnel son arrêt du 10 mars 2016 dans l'affaire X______ avant l'audience des 14, 15 et 16 mars 2016, pour ne le notifier qu'ensuite aux parties, ce qui aurait permis aux premiers juges de commettre un "délit d'initiés juridique" en se livrant à un raisonnement conforme audit arrêt, n'engage que lui, sans préjudice de ce qu'on voit mal quelle conséquence il faudrait en tirer dans le cadre de la présente procédure. Il suffira d'observer que rien ne permet d'affirmer que les premiers juges étaient incapables de faire un raisonnement juridiquement correct sans l'aide des juges fédéraux, voire de s'inspirer du premier arrêt dans l'affaire X______ du 4 juillet 2014. 2.6.2.3. Bien que l'enseignement du Tribunal fédéral dans cette précédente cause puisse être source d'inspiration, l'exception tirée de l'interdiction du bis in idem ne trouve nullement application en l'espèce. D'une part, même si les circonstances sont semblables, les faits et les parties ne sont pas les mêmes. D'autre part, il n'a pas été jugé dans cette première affaire que les faits n'étaient pas constitutifs d'infraction pénale mais qu'une condamnation prononcée au stade de l'appel pour une infraction commise au préjudice de M______ plutôt que des époux X______ contrevenait à l'interdiction de la reformatio in pejus vu l'acquittement implicite prononcé par la juridiction inférieure, problématique qui ne se pose pas dans la présente affaire, le tribunal de première instance ayant au contraire prononcé un verdict de culpabilité. 2.6.2.4. Tout au plus l'appelant pourrait-il se prévaloir de ce que les premiers juges auraient dû l'interpeller, au sens de l'art. 344 CPP, avant de s'écarter de l'appréciation juridique du MP. Toutefois, cette informalité, qui saurait d'autant moins être qualifiée de grave que la variation est minime et que l'appelant pouvait s'y attendre, peut être tenue pour réparée, vu le plein pouvoir de cognition de la juridiction d'appel (ATF 137 I 195 consid. 2.3.1 ; 135 I 279 consid. 2.3). 2.6.3. Sur le fond toutefois, force est de constater que la conclusion des premiers juges ne saurait être suivie dès lors qu'il est établi que M______ n'a pas été privée de son capital social à concurrence de CHF 10'000.- au moment de sa constitution. A supposer qu'il était bien d'emblée convenu qu'une partie de la somme versée par J______ sur le compte de N______ le 22 juin 2007 devait servir à la souscription des actions, l'opération a bien eu lieu, de sorte que la société n'a subi aucun dommage direct (pas plus que l'actionnaire, qui a bien obtenu la titularité des actions, n'a subi de dommage indirect). L'usage que l'appelant a pu faire, dans l'intervalle, de la somme de CHF 50'000.- comprenant celle de 10'000.-, est en définitive indifférent, à tout le moins sur la base des éléments du dossier qui ne permettent pas retenir qu'il n'avait pas en tout temps les moyens ou l'intention de verser, pour le bénéfice de J______, CHF 10'000.- sur le compte de consignation de la société en voie de constitution, ainsi que cela a été en définitive fait avec le paiement global de CHF 100'000.- correspondant à l'intégralité du capital social. Le jugement doit donc être annulé, au profit d'un acquittement, dans la mesure où l'appelant a été reconnu coupable de gestion déloyale aggravée pour avoir disposé de CHF 10'000.- versés par J______ aux fins de la souscription d'une partie du capital social de M______. 2.7.1. Le tribunal de première instance a estimé que les prêts concédés par les parties plaignantes H______ et G______ en octobre 2007 et janvier 2008 ne pouvaient être considérés comme destinés au programme de O______, puisque cette promotion n'était pas encore envisagée à cette date. Il s'agissait donc de prêts commerciaux, de sorte que les fonds en cause ne pouvaient être tenus pour avoir été confiés au sens de l'art. 138 CP. Par ailleurs, en sa qualité d'emprunteur, l'appelant n'était pas tenu par un devoir de gestion, ce qui excluait également l'application de l'art. 158 CP, d'où le prononcé d'un acquittement. En revanche, dès le versement ultérieur du 13 mai 2008 de l'intimé G______, le projet était désormais en cours ; ces deux parties plaignantes avaient déclaré que leurs paiements étaient destinés à cette promotion ; une partie des sommes avaient été mentionnées au titre de fonds propres dans le plan financier soumis au L______ et G______ avait conclu un contrat de réservation pour un appartement le 12 mars 2009, soit quasiment concomitamment avec le dernier versement. Aussi, toute somme payée depuis cette date devait-elle être tenue pour l'avoir été en vue du programme immobilier. 2.7.2. Ce raisonnement fait abstraction de ce que les conventions intitulées "contrat de prêt" , dont la dernière s'avère avoir été conclue, avec l'intimée H______, le 21 décembre 2010, mentionnent expressément que les prêts sont destinés aux activités professionnelles de l'appelant. Les deux parties plaignantes se sont en outre vue octroyer une garantie (cédule hypothécaire) ou prétendue telle (engagement de paiement de AI______) couvrant les sommes prêtées selon les premiers de ces contrats. Par ailleurs, les déclarations des deux créanciers ne sont pas aussi univoques que retenu dans le jugement. Sans doute, au moment où les prêteurs ont été persuadés d'avancer des sommes supplémentaires a-t-il aussi été question du programme de O______, au même titre d'ailleurs que, précédemment, l'appelant avait semble-t-il parlé à H______ d'un terrain sur lequel des villas pourraient être érigées, mais le fait qu'un ou des projets concrets aient été évoqués, au chapitre des "activités personnelles" que l'appelant se proposait de développer ne signifie pas encore qu'une affectation exclusive des prêts, susceptible d'en garantir le remboursement, ait été convenue, contrairement à la lettre des contrats de prêt, sous réserve de cas où des stipulations plus précises seraient par ailleurs établies. Tel est le cas, pour l'intimée H______, de la somme de CHF 700.- censée être "décomptée" dans le cadre de la promotion immobilière, ou du virement de CHF 20'000.- dont la cause expresse est : "avance sur hypothèque". A tout le moins y a-t-il, pour les versements couverts par les contrats de prêt qui ne sont pas aussi l'objet de telles précisions, un doute, sérieux et concret, qui doit profiter à la défense. Cela concerne, outre les paiements des intimés G______ et H______ déjà écartés par les premiers juges, aussi les deuxième et troisième versements par EUR 60'000.- chacun du premier, valeur 13 mai 2008 et 9 mars 2009, conformément à la lettre des conventions des 1 er mai 2008 et 1 er janvier 2010, ainsi que les versements de l'intimée H______ de CHF 30'000.- (= 10'000.- + 20'000.-) de novembre 2008, CHF 5'000.- du 26 octobre 2009 et CHF 7'000.- du 7 décembre 2009, toutes sommes englobées, semble-t-il, dans le montant du prêt visé par le troisième contrat du 21 décembre 2010. Certes, comme pour les sommes précédemment obtenues de ces deux parties plaignantes, il aurait été envisageable d'examiner la question sous l'angle de l'escroquerie, mais cela n'est plus possible à ce stade, la Cour étant, comme le Tribunal correctionnel avant elle, liée par les faits décrits dans l'acte d'accusation, qui ne comprennent pas les éléments susceptibles de correspondre à la notion juridique de tromperie astucieuse. En conclusion, l'appel doit être partiellement admis, l'appelant étant acquitté du chef d'abus de confiance également pour les prêts octroyés par les parties plaignantes G______ les 13 mai et 9 mars 2009 (2 x EUR 60'000.-) ainsi que par H______ les 14 et 17 novembre 2008 (CHF 10'000.- + 20'000) puis le 26 octobre (CHF 5'000.-) et le 7 décembre 2009 (CHF 7'000.-). 2.7.3. La Cour saisira cette occasion pour compléter d'office le dispositif du jugement de première instance, celui-ci ne mentionnant pas, manifestement par inadvertance, l'acquittement prononcé par les premiers juges aux termes de leurs considérants, pour les premiers versements de l'intimée H______. 2.8.1. Comme retenu par le tribunal de première instance, il est incontestable – et apparemment désormais incontesté – que l'appelant était l'initiateur de la promotion immobilière de O______ puis du programme de AJ______, censé "sauver" le précédent. Comme tous les intervenants, lui compris, l'ont décrit, l'appelant a eu le contact avec le vendeur, puis approché les investisseurs, leur présentant son projet comme une opportunité d'investir. Il a tiré avantage de l'ignorance en affaires de la plupart d'entre eux – à tout le moins s'agissant des investisseurs encore parties plaignantes –, de la confiance qu'ils avaient en lui, de l'apparence de sérieux que la constellation de sociétés existantes ou à créer donnait à toute l'opération. Ainsi qu'il l'a lui-même déclaré, l'appelant a discuté le prix de vente avec le propriétaire-investisseur, à envisagé diverses formes juridiques (acquisition par lui-même, par l'une de ses sociétés, en "VEFA" , par le biais de la SCCA), a négocié les prêts avec le L______ et entretenu le contact avec le notaire, les investisseurs se contentant de signer lorsque cela leur était demandé et d'exécuter les instructions de paiement. Il a placé la partie plaignante G______ à la tête des sociétés françaises mais il ne fait pas de doute que celui-ci ne faisait qu'exécuter les instructions de l'appelant, ayant même délivré procuration à la fille de ce dernier, jusqu'au jour où ce lésé a commencé d'éprouver des doutes sur la situation, un peu avant les autres, semble-t-il. L'appelant a ainsi revêtu la qualité de gérant des deux promotions et, notamment, de gérant de fait des sociétés N______ françaises et de la W______. 2.8.2. Comme exposé ci-dessus (points B.g.d. et B.g.e.), les éléments du dossier, notamment l'expertise mais aussi les pièces bancaires et comptables réunies, établissent clairement que, sur la somme d'EUR 511'450.- débloquée par le L______ et EUR 10'000.- provenant du notaire entre fin décembre 2009 et fin mars 2010, seule une somme d'environ EUR 120'000.- a, au plus, été consacrée à des travaux liés au programme immobilier de O______, le solde étant affecté au paiement de charges courantes de l'appelant et à ses dépenses privées ou celles de sa famille, leur assurant un train de vie pour le moins confortable. Sur le montant de CHF 345'000.- versé par les investisseurs d'octobre 2009 à mai 2011, seuls EUR 40'000.- et EUR 20'750.- ont effectivement été consacrés au projet de AJ______, le reste étant affecté, ici encore, à la couverture de certaines charges des sociétés suisses de l'appelant et, en bonne partie, à des dépenses privées ou non justifiées (plus de CHF 200'000.-). A juste titre, l'appelant ne parait pas ou plus véritablement contester cette analyse, étant observé qu'il n'a pas réitéré la réquisition tendant à l'établissement d'une expertise complémentaire et s'est contenté d'une allusion, dans la plaidoirie de son défenseur, au fait que l'expertise judiciaire ne mentionnait pas ce qui avait pu être payé pour AJ______, sans prétendre qu'il y aurait eu d'autres dépenses que celles sus-évoquées. Cette renonciation parait sage, étant observé qu'on ne voit guère quels autres montants, à tout le moins significatifs, que ceux évoqués ci-dessus auraient pu être déboursés, sachant que ce second projet n'a jamais dépassé un stade préliminaire. 2.8.3. Contrairement au cas des sommes prêtées par les parties plaignantes H______ et G______ évoquées précédemment, il est incontestable que les fonds obtenus soit par le truchement des prêts hypothécaires, soit des investisseurs à compter de l'automne 2009 étaient exclusivement destinés aux deux programmes immobiliers et non, plus généralement, aux activités professionnelles développées par l'appelant. L'appelant ne le conteste pas mais parait – c'est l'interprétation la plus cohérente et favorable que l'on puisse faire de ses déclarations très variables et souvent confuses – soutenir que le financement des projets englobait, à concurrence d'un tiers des fonds investis, celui de "la structure" censée les développer selon lui, soit ses sociétés M______ et N______, et, par une sorte d'effet ricochet, ses dépenses personnelles, dans la mesure où les sociétés lui devaient des salaires et dès lors qu'il "devait bien vivre" . 2.8.3.1. En ce qui concerne les fonds provenant du L______, l'argument ne résiste pas à l'examen pour ce motif déjà que, au-delà du versement effectué en mains du notaire en vue de la conclusion du contrat de vente, cet établissement avait lié le moment et le montant de ses paiements à l'avancement des travaux, ainsi que cela résulte du courrier du 16 octobre 2009 de AO______ (20'215), des déclarations dudit témoin et de celles de AK______ ainsi que de AA______. 2.8.3.2. D'une façon plus générale, la thèse d'un accord sur une telle répartition, contesté par les investisseurs et la représentante du L______, n'est confirmé par aucun élément du dossier, étant observé que les documents détaillant les coûts des travaux ne visent, précisément, que des travaux, sans allusion au moindre frais de gestion. Un tel accord aurait été incompatible avec le montant estimé des travaux, ne laissant place qu'à une marge d'EUR 484'000.- à EUR 247'500.- selon les tableaux concernant l'état du programme de O______ au 31 mars 2008 (47'731), 3 novembre 2008 (pièce C TCor) et 21 avril 2009 (pièce D TCor), soit un bénéfice ne couvrant pas même les sommes dont ont profité l'appelant et ses sociétés suisses, ce qui n'aurait donc laissé aucun avantage pour les investisseurs. Un tel accord n'aurait eu aucun sens au plan économique. Les affirmations de l'appelant sont encore contredites par le budget d'exploitation de M______ pour 2008, mentionnant une commission de vente de O______ de CHF 100'000.-, montant confirmé par AA______. Enfin, si besoin encore était, l'inexistence de l'accord se déduit des contradictions dans les déclarations de l'appelant. Celui-ci a en effet tour à tour affirmé, en des termes très généraux, (i) que la marge nécessaire pour couvrir ses dépenses avait été dégagée moyennant une réduction du coût des travaux de EUR 1'000'000.- à EUR 650'000.- – ce qui est au demeurant incompatible avec le fait qu'il s'est approprié bien plus que la différence entre ces deux sommes –, (ii) que la partie plaignante G______ et lui avaient décidé de payer d'autres factures que celles des travaux parce qu'il y avait un excès de liquidités – contrevérité flagrante, au regard de l'insuffisance patente de fonds dont a souffert la promotion –, (iii) que la décision d'affecter un tiers des avoirs à la couverture des frais généraux avait été prise par son comptable et lui, dès lors que le coût des travaux n'était en définitive devisé qu'à EUR 650'000.-, (iv) qu'il était "évident" qu'il avait "le droit" de prélever une partie des fonds pour les frais généraux de ses sociétés et ses propres revenus, sans quoi il n'aurait pas participé au projet. En définitive, ce n'est qu'à l'audience d'appel qu'il a affirmé (v) que la partie plaignante G______ – ce qui, soit dit en passant, ne serait pas pour autant opposable aux autres investisseurs – aurait accepté de "maintenir la structure, soit les salaires des employés ou mandataires" , lors de la réunion précitée chez le comptable, peu après l'acquisition de l'immeuble par la W______. Ces variations démontrent bien qu'il n'y a en réalité jamais eu d'accord préalable selon lequel les fonds versés par le L______ ou directement par les investisseurs seraient affectés à d'autres coûts que des coûts directement liés à la promotion de O______, voire celle de AJ______. 2.8.3.3. Certes, il semblerait que, mises devant le fait accompli, et s'entendant affirmer que cela était nécessaire pour éviter un échec de toute l'opération, certaines parties plaignantes n'aient pas protesté en prenant connaissance, entre mars et l'été 2011, des tableaux des dépenses établis, selon les propres dires de l'appelant, "après-coup" , pour expliquer l'emploi des fonds – aveu implicite qu'il n'y avait pas eu d'accord préalable – mais on ne saurait déduire une ratification de cette absence de réaction, sans préjudice de ce qu'on ignore ce que les intéressés ont véritablement compris de la situation. 2.8.3.4. Par un dernier moyen, l'appelant a encore tenté d'échapper à la condamnation en plaidant avoir pêché par ignorance et/ou avoir été victime des errements de tiers, en particulier de la banque et du notaire. Il est exact que l'appelant a fait preuve non seulement d'incompétence, mais aussi d'arrogance, pour s'être lancé dans une promotion immobilière alors qu'il ne semble avoir eu aucune idée de ce que cela impliquait et sans y mettre le moindre centime, entraînant avec lui les parties plaignantes. Il n'est par ailleurs pas impossible que le L______ et M e AP______ aient aussi joué un rôle dans le fait que dès le départ, le projet s'est avéré insuffisamment financé. Il n'en demeure pas moins que confronté, selon ses propres dires, dès la signature à ces difficultés, et réalisant aussi que la structure choisie ne lui réservait pas de rémunération, l'appelant s'est bien gardé d'aborder ces questions avec les intimés, et a décidé de s'approprier une part importante des fonds destinés à la promotion de O______ puis à celle de AJ______ censée sauver la première, pour couvrir, généreusement, ses besoins personnels et familiaux ainsi que les charges de ses sociétés suisses, dont la situation financière était mauvaise. Il a donc agi unilatéralement et intentionnellement, sachant qu'il affectait les fonds confiés à d'autres destinations que celle convenue, s'enrichissant de la sorte, ou enrichissant ses sociétés. 2.8.4. L'appel est par conséquent rejeté, et le jugement confirmé, en ce qu'il reconnait l'appelant coupable d'abus de confiance s'agissant des fonds confiés par les parties plaignantes, directement, ou au travers d'emprunts souscrits auprès du L______, à compter du versement de l'intimée H______ du 7 décembre 2009 (CHF 700.-).</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3.2.1. Selon l'art. 43 CP, le juge peut suspendre partiellement l'exécution d'une peine pécuniaire, d'un travail d'intérêt général ou d'une peine privative de liberté d'un an au moins et de trois ans au plus afin de tenir compte de façon appropriée de la faute de l'auteur (al. 1).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(ATF 134 IV 1 consid. 5.3.1 p. 10). 3.2.2. S'il prononce une peine privative assortie d'un sursis partiel, le juge doit non seulement fixer au moment du jugement la quotité de la peine qui est exécutoire et celle qui est assortie du sursis mais également mettre en proportion adéquate une partie à l'autre. Il dispose à cette fin d'un large pouvoir d'appréciation. Au nombre des critères pertinents, il y a celui de la faute de l'auteur (art. 43 al. 1 CP) et celui de la probabilité d'un comportement futur de l'auteur conforme à la loi.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3.2.3. Le sursis (partiel) peut être assorti d'une règle de conduite (art. 44 al. 2 CP) adaptée au but de la mesure, qui est l'amendement durable du condamné. Elle ne doit pas avoir un rôle exclusivement punitif et son but ne saurait être de porter préjudice. Elle doit être conçue en premier lieu dans l'intérêt du condamné et de manière à ce qu'il puisse la respecter ; elle doit par ailleurs avoir un effet éducatif limitant le danger de récidive (arrêt du Tribunal fédéral 6B_626/2008 du 11 novembre 2008 consid. 6.1 ; ATF 130 IV 1 consid. 2.1 p. 2 s). Le choix et le contenu de la règle de conduite doivent s'inspirer de considérations pédagogiques, sociologiques et médicales (ATF 107 IV 88 consid. 3a) p. 89 concernant l'art. 38 ch. 3 aCP) et respecter le principe de la proportionnalité. Aussi, une règle de conduite en soi raisonnable ne saurait avoir pour effet d'imposer au condamné, au vu de sa situation, un sacrifice excessif. La règle de conduite doit tenir compte de la nature de l'infraction commise et des infractions que le condamné risque de commettre à nouveau (ATF 130 IV 1 consid. 2.2 p. 4). 3.3.1. La faute de l'appelant est importante. Il s'est choisi des proies faciles à convaincre, en raison de la confiance qu'elles avaient en lui et de leur inexpérience en affaires, sans éprouver le moindre scrupule face au fait qu'il s'agissait aussi de personnes modestes, dont il s'est non seulement approprié les économies y compris provenant du système du 2 ème pilier, mais qu'il a aussi amenées à s'endetter pour participer à un investissement immobilier. Sous le couvert de cette promotion, fort hasardeuse, puis d'une nouvelle censée "sauver" la précédente, il s'est approprié des montants très importants pour assurer son train de vie confortable, celui de sa famille et supporter les charges de ses sociétés, alors qu'il ne pouvait ignorer qu'en agissant de la sorte, il en précipitait l'échec à supposer qu'il ne fût d'emblée inéluctable. Dans une fuite en avant, il a sollicité et obtenu de nouveaux versements de ses victimes, jouant de leur crainte de perdre ce qui avait déjà été investi. La période pénale est longue, les occurrences comme les lésés nombreux, et la détermination délictuelle doit être qualifiée de forte, l'appelant ayant déployé une activité intense pour convaincre ses victimes et mettre en place un mécanisme complexe. Les mobiles sont purement égoïstes, relevant d'un appât d'un gain important, mâtiné de vanité, s'agissant de se donner l'apparence d'une réussite sociale, de revêtir l'habit d'un promoteur à la tête d'une "structure" comptant notamment plusieurs employés, et capable de s'assurer et d'assurer aux siens un train de vie élevé. La collaboration de l'appelant a été médiocre, celui-ci s'enferrant dans les dénégations ou explications confuses et contradictoires, à l'effet de déplacer la responsabilité sur des tiers (notaire, banque, ses collaborateurs Z______ et AA______) voire la partie plaignante G______ ou ex-partie plaignante AK______. Il n'y a aucune prise de conscience, ni démarche d'introspection, l'appelant affirmant sans sourciller qu'il se verrait bien retenter l'expérience d'une promotion immobilière, avec l'espoir de remporter un jour quelque succès, comme s'il s'agissait d'un jeu. D'ailleurs, l'intéressé ne semble pas regretter ses agissements, n'a jamais rien entrepris pour réparer le préjudice causé et, au contraire, résiste aux tentatives de recouvrement des lésés. La situation de l'appelant était équilibrée, tant au plan personnel que professionnel, de sorte que rien ne justifie, ni même ne permet de comprendre, son choix de recourir à des expédients illicites, avec de si lourdes conséquences pour les lésés. Ses antécédents ne sont pas spécifiques, ni lourds, et ne pèsent guère dans la fixation de la peine, étant cependant observé qu'il peut déjà être déduit de ce passé une certaine désinvolture à l'égard des règles. Au regard de l'ensemble de ces circonstances, la Cour estime adéquate une peine privative de liberté de 30 mois. 3.3.2. Cette quotité exclut l'octroi du sursis. Reste le sursis partiel, acquis dans son principe à l'appelant. Certes, la forte volonté délictuelle dont celui-ci a fait preuve, l'absence de prise de conscience, et son intention affichée de se relancer dans une activité de promotion immobilière font que le risque de récidive est particulièrement important. Il devrait cependant pouvoir être contenu par la mise en place de garde-fous sérieux, sous la forme du long délai d'épreuve de cinq ans et de la règle de conduite prescrite par les premiers juges, conditions qui n'ont d'ailleurs pas été discutées, et donc critiquées, dans la procédure d'appel. La partie à exécuter de la peine sera ramenée au minimum légal, soit six mois, compte tenu de ce qu'il s'agit de la première condamnation de l'appelant à une peine privative de liberté ferme, laquelle intervient en outre relativement tardivement dans son parcours de vie. Ce choix présente aussi pour avantage de laisser une longe partie de peine suspendue ce qui constitue une sérieuse épée de Damoclès venant compléter les mesures visant à limiter le risque de récidive.</w:t>
      </w:r>
    </w:p>
    <w:p>
      <w:r>
        <w:rPr>
          <w:b/>
        </w:rPr>
        <w:t>E. 4</w:t>
      </w:r>
    </w:p>
    <w:p>
      <w:r>
        <w:t>4.1. L'appelant n'a pas explicité ses conclusions à l'encontre du prononcé civil relatif à la réparation du dommage matériel causé à C______, F______, E______ et I______, alors qu'il ne reconnait les chiffres articulés au titre de leurs versements. Il n'y a partant pas lieu d'entrer en matière.</w:t>
      </w:r>
    </w:p>
    <w:p>
      <w:r>
        <w:rPr>
          <w:b/>
        </w:rPr>
        <w:t>E. 4.2</w:t>
      </w:r>
    </w:p>
    <w:p>
      <w:r>
        <w:t>L'argument tiré de la litispendance – voire de l'autorité de la force de chose jugée – avec la procédure l'opposant à la partie plaignante H______ est pour sa part manifestement infondé pour ce motif déjà que les conclusions prises par et allouées à cette partie plaignante dans le cadre de la présente procédure ont trait aux sommes qu'elle a confiées à partir du 17 février 2011, alors que l'action en libération de dette vaudoise fait suite à une commandement de payer fondé sur les versements antérieurs et objet, en dernier lieu, du contrat de prêt du 21 décembre 2010, comme mentionné sur l'acte de poursuite de payer. L'objet du litige n'est partant pas identique. Au surplus, lesdites conclusions civiles ne sont pas touchées par les acquittements supplémentaires prononcés supra , également en lien avec ledit contrat.</w:t>
      </w:r>
    </w:p>
    <w:p>
      <w:r>
        <w:rPr>
          <w:b/>
        </w:rPr>
        <w:t>E. 4.3</w:t>
      </w:r>
    </w:p>
    <w:p>
      <w:r>
        <w:t>L'appel est ainsi rejeté en ce qu'il vise le prononcé civil.</w:t>
      </w:r>
    </w:p>
    <w:p>
      <w:r>
        <w:rPr>
          <w:b/>
        </w:rPr>
        <w:t>E. 5</w:t>
      </w:r>
    </w:p>
    <w:p>
      <w:r>
        <w:t>2. L'appelant prétend à bon escient à une indemnité liée à ses frais de défense ensuite de l'acquittement prononcé au sujet des fonds provenant de J______, étant rappelé que pour ce volet, il ne plaidait pas au bénéfice de l'assistance judiciaire, nonobstant ses requêtes en ce sens. Au regard de la complexité, certes relative, mais pas inexistante, de la cause et de l'enjeu, en termes de peine encourue, il se justifiait que l'intéressé fît appel aux services d'un avocat. En ce qui concerne le quantum, la liste des opérations effectuées parait raisonnable, de même que le tarif pratiqué, d'où l'octroi d'une indemnité par CHF 10'413.15.</w:t>
      </w:r>
    </w:p>
    <w:p>
      <w:r>
        <w:rPr>
          <w:b/>
        </w:rPr>
        <w:t>E. 5.1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5.3</w:t>
      </w:r>
    </w:p>
    <w:p>
      <w:r>
        <w:t>La créance de l'appelant en couverture de ses frais de défense sera toutefois compensée, à due concurrence, avec sa dette envers l'Etat afférente aux frais de procédure (cf. infra consid. 6.2.1 et 6.2.2. ; art. 442 al. 4 CPP ; ATF 139 IV 243 ).</w:t>
      </w:r>
    </w:p>
    <w:p>
      <w:r>
        <w:rPr>
          <w:b/>
        </w:rPr>
        <w:t>E. 6</w:t>
      </w:r>
    </w:p>
    <w:p>
      <w:r>
        <w:t>6.1 Selon l'art. 428 al. 1 première phrase CPP, les frais de la procédure de recours sont mis à la charge des parties dans la proportion où elles ont obtenu gain de cause ou succombé. En outre, dans la mesure où elle rend elle-même une nouvelle décision, l'autorité de recours revoit la répartition des frais par l'autorité inférieure (art. 428 al. 3 CPP). 6.2.1. Les frais de la procédure préliminaire portant sur le complexe de fait dénoncé par J______, soit CHF 907.- doivent être laissés à la charge de l'Etat. En ce qui concerne l'autre volet, l'appelant succombe sur le principe de sorte que l'ouverture de la procédure pénale s'avère fondée. Il est acquitté d'un complexe de fait relativement simple, les prêts personnels étant définis comme tels par des contrats produits avec la plainte déjà, sauf celui évoqué dans la récente décision de la Chambre patrimoniale cantonale vaudoise, et reconnu coupable pour le second, qui couvrait deux sous-chapitres (prêts hypothécaires ; versements par les investisseurs) qui ont nécessité davantage de travail, notamment s'agissant d'apprécier le bien-fondé de l'argument de la répartition des fonds prétendument convenue, tel qu'allégué par la défense, sans préjudices des explications confuses de l'intéressé. Il succombe encore en ce qui concerne les prétentions civiles. Dans ces circonstances, il se justifie de mettre à sa charge trois quart des frais de l'instruction préliminaire, soit CHF 50'200.- (arrondi). Les frais liés à la procédure de jugement, par CHF 9'754.-, pour les deux procédures, désormais jointes, lui incomberont en revanche à concurrence de la moitié, soit CHF 5'000.- (arrondi), compte tenu de l'issue favorable s'agissant de la cause J______ / M______. Aussi, l'appelant supportera les frais de première instance à concurrence de CHF 55'200.-. 6.2.2. Vu l'issue de la procédure, l'appelant doit être tenu pour avoir partiellement succombé de sorte que la moitié des frais lui en incomberont, lesquels comprennent un émolument de décision de CHF 6'000.- (art. 14 al. 1 let. e du règlement fixant le tarif des frais en matière pénale, du 22 décembre 2010 [RTFMP ; RS-GE E 4 10.03]).</w:t>
      </w:r>
    </w:p>
    <w:p>
      <w:r>
        <w:rPr>
          <w:b/>
        </w:rPr>
        <w:t>E. 7</w:t>
      </w:r>
    </w:p>
    <w:p>
      <w:r>
        <w:t>Selon l'art. 433 CPP, la partie plaignante peut demander que le prévenu supporte ses dépenses obligatoires, dans la mesure où elle a obtenu gain de cause. L'appelant a conclu à ce que les parties plaignantes soient déboutées de toutes leurs conclusions. Il faut ainsi admettre qu'il critiquait également l'octroi de l'indemnité arrêtée par les premiers juges au titre de la disposition précitée. Dans la mesure où il s'est abstenu du moindre développement, la Cour retiendra toutefois qu'il ne remet pas en cause la liste des opérations retenue par les premiers juges et le taux horaires par eux appliqué. A l'issue de la procédure cantonale, l'appelant s'avère avoir succombé sur le principe, un verdict de culpabilité étant prononcé et des conclusions civiles allouées, mais il a néanmoins été libéré d'une partie des reproches faits à son encontre par les parties plaignantes concernées. Il se justifie partant de ne mettre à sa charge que deux tiers des frais d'avocat des celles-ci soit, avant procédure d'appel, CHF 21'611.60 (= CHF 32'417.50 x 2/3). Pour la procédure de deuxième instance, et nonobstant le silence de l'appelant, il y a lieu de retrancher les trois heures facturées, sans autre explication, par M e D______, chef d'étude, alors que celles à l'actif de son collaborateur paraissent couvrir l'intégralité de l'activité nécessaire et accomplie. Il faut également retrancher deux heures de la note d'honoraires, la présence à l'audience n'ayant pu mobiliser que quatre heures (trois heures d'audience et une heure par l'aller-retour Lausanne-Genève). Aussi, l'appelant sera-t-il condamné à payer aux intimés la somme de CHF 3'620.- (= [15h30 x CHF 350.-/heure] x 2/3) plus la TVA au taux de 8% par CHF 289.60, soit, au total, CHF 3'909.60.</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8.2.2.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8.2.4. Au nombre des démarches diverses ainsi indemnisées forfaitairement, il y a en particulier la rédaction de la déclaration d'appel, celle-ci ne nécessitant pas de motivation à teneur de la loi (ordonnance et décisions de la Cour des plaintes du Tribunal pénal fédéral BB.2014.51 du 21 novembre 2014 consid. 2.1 ; BB.2013.165 du 24 janvier 2014 consid. 4.1.3 et BB.2013.127 du 4 décembre 2013 consid. 4.2).</w:t>
      </w:r>
    </w:p>
    <w:p>
      <w:r>
        <w:rPr>
          <w:b/>
        </w:rPr>
        <w:t>E. 8.3</w:t>
      </w:r>
    </w:p>
    <w:p>
      <w:r>
        <w:t>L'activité facturée pour l'établissement de la déclaration d'appel et du courrier relatif à la levée du séquestre sera donc écartée, car déjà couverte par le forfait. Pour le surplus, il convient de tenir en l'occurrence compte de ce que le dossier était certes complexe et volumineux, mais que le défenseur d'office de l'appelant le connaissait bien, pour avoir assisté ce dernier depuis le mois de mai 2013 et l'avoir, en particulier, défendu lors des débats de première instance. Dès lors, on ne voit pas comment près de 10 heures d'entretien du défenseur d'office et/ou son collaborateur avec l'appelant peuvent avoir été nécessaires à la défense de deuxième instance, d'autant que vu ses déclarations confuses et variant sans cesse – tel a encore été le cas lors des débats devant la CPAR – l'intéressé n'était guère susceptible d'apporter des éléments utiles à ses défenseurs, ni d'intégrer de longs et élaborés conseils sur l'attitude à adopter. La CPAR retiendra que seules deux heures peuvent, à la rigueur, être tenues pour nécessaires. De même, les 42 heures et 10 minutes (lecture du jugement comprise) consacrées à la préparation de la défense sont largement excessives, eu égard aussi aux arguments en définitive développés. Voulant faire preuve d'une certaine compréhension, la CPAR en retiendra 25. S'y ajoutent les trois heures qu'ont duré les débats. En définitive, le temps adéquatement consacré par la défense à ce dossier en appel est de 30 heures auxquelles il sera, par mesure de simplification, appliqué le taux réservé aux chefs d'étude. En conclusion, l'indemnité de M e B______ sera arrêtée à CHF 7'128.-correspondant à 30 heures d'activité au tarif de CHF 200.-/heure plus la majoration forfaitaire de 10% (vu l'activité précédemment déployée) et l'équivalent de la TVA au taux de 8% en CHF 528.-.</w:t>
      </w:r>
    </w:p>
    <w:p>
      <w:r>
        <w:rPr>
          <w:b/>
        </w:rPr>
        <w:t>E. 9</w:t>
      </w:r>
    </w:p>
    <w:p>
      <w:r>
        <w:t>Par souci de clarté, le dispositif du jugement sera intégralement annulé et formulé à nouveau.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