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P/5373/2020 vom 4. November 2021</w:t>
      </w:r>
    </w:p>
    <w:p>
      <w:r>
        <w:t>GE Cour de justice, 2021-11-04, FR</w:t>
      </w:r>
    </w:p>
    <w:p>
      <w:r>
        <w:rPr>
          <w:b/>
        </w:rPr>
        <w:t xml:space="preserve">Quelle: </w:t>
      </w:r>
      <w:r>
        <w:t>https://mcp.opencaselaw.ch/entscheid/ge_gerichte_P_5373_2020</w:t>
      </w:r>
    </w:p>
    <w:p>
      <w:r>
        <w:t>FR: GE_GERICHTE P/5373/2020 du 4 novembre 2021</w:t>
      </w:r>
    </w:p>
    <w:p>
      <w:r>
        <w:t>IT: GE_GERICHTE P/5373/2020 del 4 novembre 2021</w:t>
      </w:r>
    </w:p>
    <w:p>
      <w:pPr>
        <w:pStyle w:val="Heading2"/>
      </w:pPr>
      <w:r>
        <w:t>Regeste</w:t>
      </w:r>
    </w:p>
    <w:p>
      <w:r>
        <w:t>CP.286 LStup</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 sont garantis par les art. 14 § 2 du Pacte international relatif aux droits civils et politiques du 16 décembre 1966 (Pacte II), 6 § 2 de la Convention de sauvegarde des droits de l'homme et des libertés fondamentales du 4 novembre 1950 (CEDH), 32 al. 1 de de la Constitution fédérale de la Confédération suisse (Cst.)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p. 82 ; 127 I 38 consid. 2a p. 41). Le principe in dubio pro reo , qui découle de la présomption d'innocence,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À teneur de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Ni l'art. 29 al. 2 Cst. ni l'art. 6 § 3 let. d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1P_679/2003 du 2 avril 2004 consid. 3.1. ; ATF 121 I 306 consid. 1b p. 308 ; CourEDH Ubach Mortes Antoni c. Andorre du 4 mai 2000, § 2).</w:t>
      </w:r>
    </w:p>
    <w:p>
      <w:r>
        <w:rPr>
          <w:b/>
        </w:rPr>
        <w:t>E. 2.2</w:t>
      </w:r>
    </w:p>
    <w:p>
      <w:r>
        <w:t>Contrairement à ce que soutient l’appelant, qui s’est du reste bien gardé de la requérir,l’audition deH______ aux fins de confirmer ou infirmer les déclarations de E______ n’était pas et n’est pas devant la CPAR, indispensable aux fins d’établir les faits, dans le respect de la présomption d’innocence.</w:t>
      </w:r>
    </w:p>
    <w:p>
      <w:r>
        <w:rPr>
          <w:b/>
        </w:rPr>
        <w:t>E. 2.2.1</w:t>
      </w:r>
    </w:p>
    <w:p>
      <w:r>
        <w:t>La crédibilité de ce témoin est d’emblée douteuse, dans la mesure où, pour récupérer son téléphone portable, il a prétendu auprès du MP l’avoir égaré. Or, dans la mesure où il résulte de la procédure que les deux hommes se connaissent, il est bien plus vraisemblable qu’il l’a prêté à E______, ainsi que celui-ci l'a déclaré. En prolongement, il ne peut guère être supposé que H______ confirmerait qu’il a prêté son appareil à E______ afin de le mettre en contact avec un vendeur de cocaïne, si telle était la vérité. Aussi, on ne pourrait se fier à d’éventuelles dénégations de l’intéressé.</w:t>
      </w:r>
    </w:p>
    <w:p>
      <w:r>
        <w:rPr>
          <w:b/>
        </w:rPr>
        <w:t>E. 2.2.2</w:t>
      </w:r>
    </w:p>
    <w:p>
      <w:r>
        <w:t>Par ailleurs, le dossier comporte d’autres indices suffisants pour apprécier la crédibilité des propos de E______, confrontés à la version de l’appelant. E______ s’est lui-même incriminé en expliquant avoir tenté de se procurer de la drogue et il n’avait aucune raison de charger à tort le prévenu, étant rappelé que tous deux conviennent qu’ils ne se connaissent pas. En outre, la déclaration de E______ comporte un détail qui ajoute à sa plausibilité : le témoin a exposé qu’il s’est rendu aux D______ pour y rencontrer son vendeur, quartier où l’appelant se trouvait justement et a été interpellé. Combiné aux deux éléments qui précèdent, le fait que l’appelant était porteur d’une dose de cocaïne peut difficilement être tenu pour le fruit d’un malheureux hasard. A la version, vraisemblable, d’un tiers qui n’a aucun intérêt à l’incriminer et à se charger par la même occasion, l’appelant en oppose une qui paraît de circonstance. On voit en effet mal pour quel motif l’appelant, qui affirme qu’il n’est pas un consommateur habituel et que la dose de 0.93 gramme de cocaïne était censée couvrir ses besoins sur une longue période, aurait pris le risque de la conserver sur lui, étant observé qu’il n’a ni déclaré qu’il venait de l’acquérir et allait la ramener chez lui, ni affirmé qu’il s’apprêtait à consommer la nuit de son interpellation. La constance de son récit n’est pas déterminante, étant rappelé qu’il ne s’est en définitive exprimé qu’à deux reprises, et n’est d’ailleurs pas entière, puisqu’il n’a pas contesté les faits dans son opposition à l’ordonnance de condamnation, querellant uniquement la peine infligée. Comme déjà évoqué, il n’est guère crédible que, recherchant de la cocaïne, E______ se soit vu donner, par le plus grand des hasards, le contact d’un homme qui possédait précisément près d’un gramme de cette drogue ce soir-là, mais en réalité ne trafiquait plus depuis 2014. Dans ces circonstances, le fait que l’appelant n’ait pas été condamné pour du trafic de stupéfiants commis après l’année 2014 n’est, comme retenu par la première juge, pas gage de son innocence ; il établit en revanche qu’une telle activité ne lui est pas totalement étrangère.</w:t>
      </w:r>
    </w:p>
    <w:p>
      <w:r>
        <w:rPr>
          <w:b/>
        </w:rPr>
        <w:t>E. 2.3</w:t>
      </w:r>
    </w:p>
    <w:p>
      <w:r>
        <w:t>En conclusion, les éléments du dossier suffisent pour retenir que la drogue que l’appelant portait sur lui le jour de son arrestation était bien destinée à la vente et que E______, informé par H______ qu’il pourrait s’en procurer auprès de lui, l’a contacté à cette fin, sans qu’il soit nécessaire de tenter de le vérifier davantage en entendant ce dernier.</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l'Etat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w:t>
      </w:r>
    </w:p>
    <w:p>
      <w:r>
        <w:t>L’appelant ne paraît critiquer le choix d’une peine privative de liberté que pour l’hypothèse où la contestation du verdict de culpabilité d’infraction à la LStup aurait été accueillie. Quoi qu’il en soit, ce type de peine s’impose en l'espèce, pour les infractions susceptibles d’être sanctionnées de la sorte, soit les infractions à la LStup et à la LEI. Ainsi que retenu par le TP, la faute de l’appelant n’est pas négligeable. Bien qu’une unique occurrence soit en cause, il reste qu’il s’est procuré et a détenu de la cocaïne, dans l’intention de la vendre, contribuant de la sorte au fléau que représente le trafic de stupéfiants. Il a persisté en outre à pénétrer et séjourner illégalement en Suisse, alors même qu’il était frappé d’une interdiction d’entrée. Si la période pénale est courte, les infractions à la LEI n’en en ont pas moins un caractère sérieux en regard de la détermination avec laquelle l’intéressé a persisté à agir, aux mépris de la législation comme des décisions pénales et administratives déjà prononcées à son encontre. Les mobiles de l’appelant sont égoïstes, tenant à l’appat du gain et à l’entêtement à venir en Suisse alors même que, à le croire, il pouvait séjourner et travailler légalement en Italie et en France. La collaboration est médiocre : après s’être prévalu de son droit au silence devant la police, l’appelant a admis les infractions à la LEI, mais il pouvait difficilement en aller autrement, et persiste jusqu’en appel à nier celle à la LStup. La prise de conscience est inexistante, même s’agissant des infractions aux règles sur l’établissement et le séjour des étrangers, dans la mesure où le condamné ne fournit pas le moindre indice permettant de retenir qu’il séjournerait désormais en France alors que ses antécédents démontrent qu’il n’avait, jusqu’aux faits objet de la procédure, pas renoncé à des incursions plus ou moins durables sur le sol Suisse. Il n’y ainsi pas de raison de penser qu’il aurait désormais changé de dispositions. La situation personnelle de l’appelant est sans doute précaire mais il en est du moins pour partie responsable, puisque liée à son absence de statut en Suisse. Ses antécédents sont mauvais et spécifiques, bien qu’en effet, ceux en matière de stupéfiants soient plus anciens. Dans la mesure où le prononcé de peines privatives de liberté n’a eu par le passé aucun effet dissuasif, rien ne permet d’espérer qu’un autre genre de sanction, par ailleurs aussi déjà encouru, aurait davantage de succès. De surcroît, l’appelant n’est pas crédible lorsqu’il affirme, sans nullement étayer son propos, qu’il serait désormais domicilié à I______ et y réaliserait des revenus de l’ordre d’EUR 1'200.-/mois. Une peine pécuniaire, déjà inappropriée dans son principe, ne serait ainsi pas même exécutable. La quotité de la peine telle que fixée en première instance, et non discutée par l’appelant, est en revanche légèrement excessive : l’infraction à la LStup, abstraitement plus grave vu le maximum de la peine menace, justifie une sanction d’une quotité de 20 unités, à laquelle il faut ajouter 10 jours (peine hypothétique : 20 jours) pour l’entrée illégale et 20 jours (peine hypothétique 30 jours) pour le séjour, d’une durée relativement brève, d’où un total de 50 jours. La peine pécuniaire de 10 jours, indiscutée, pour l’infraction de l’art. 286 al. 1 CP n’est en tout cas pas trop sévère, ce que l’appelant ne soutient du reste pas, et la quotité de CHF 10.- ne saurait être réduite, dès lors qu’elle correspond au minimum admissible. L’appel n’est ainsi que très partiellement admis, s’agissant de la quotité de la peine privative de liberté, quand bien même ce point n’a pas été expressément soulevé.</w:t>
      </w:r>
    </w:p>
    <w:p>
      <w:r>
        <w:rPr>
          <w:b/>
        </w:rPr>
        <w:t>E. 4</w:t>
      </w:r>
    </w:p>
    <w:p>
      <w:r>
        <w:t>Selon l'art. 263 al. 1 CPP, des objets peuvent être mis sous séquestre lorsqu'il est probable qu'ils seront utilisés comme moyens de preuve (let. a) ou comme garantie de paiement (let. b) ou lorsqu'ils devront être confisqués (let. d). Le séquestre en couverture des frais, au sens de l'art. 268 CPP, peut quant à lui être ordonné uniquement pour garantir le paiement éventuel de frais de procédure, de peines pécuniaires ou d'amendes voire d'indemnités (Message du Conseil fédéral, FF 2006 1229). Qu’il soit prononcé au titre de l’art. 263 ou de l’art. 268 CPP, le séquestre est une mesure provisoire, prononcée dans l’attente de la décision du juge du fond sur le sort des biens qu’il frappe (A. KUHN / Y. JEANNERET (éds), Commentaire romand : Code de procédure pénale suisse , Bâle 2011, n. 3 et 4 ad art. 268). Contrairement à ce que soutient l’appelant, il incombait à la première juge de se prononcer non pas sur la question de l’éventuelle insaisissabilité des avoirs séquestrés, question qui doit être examinée au moment du prononcé du séquestre ou dans le contexte d’une demande de levée antérieure au prononcé sur le fond, mais bien sur leur sort, c’est-à-dire d’en ordonner la confiscation, si les conditions en étaient réalisées, ou la restitution à leur ayant droit. La seconde hypothèse doit être privilégiée, le dossier n’établissant pas que les conditions de l’art. 70 al. 1 CP sont réalisées. La CPAR prononcera partant la restitution des sommes de CHF 165.85 et EUR 100.-à l’appelant, celui-ci acquérant une créance envers l’Etat de valeur équivalente.</w:t>
      </w:r>
    </w:p>
    <w:p>
      <w:r>
        <w:rPr>
          <w:b/>
        </w:rPr>
        <w:t>E. 5</w:t>
      </w:r>
    </w:p>
    <w:p>
      <w:r>
        <w:t>L'appelant succombe sur les objets principaux de son appel, soit le verdict de culpabilité du chef de l’art. 19 al. 1 LStup et le choix d’une peine pécuniaire plutôt que d’une peine privative de liberté. Il supportera dès lors les ¾ des frais de la procédure de seconde instance, comprenant un émolument d’arrêt de CHF 1'600.- et de l’émolument complémentaire induit par la motivation du jugement en CHF 600.- (art. 428 al. 1 CPP et art. 14 al. 1 let e du Règlement fixant le tarif des frais en matière pénale [RTFMP]). Le verdict de culpabilité étant confirmé dans son intégralité, il n’y a pas lieu de revoir pour le surplus la répartition des frais de la procédure préliminaire et de première instance.</w:t>
      </w:r>
    </w:p>
    <w:p>
      <w:r>
        <w:rPr>
          <w:b/>
        </w:rPr>
        <w:t>E. 6</w:t>
      </w:r>
    </w:p>
    <w:p>
      <w:r>
        <w:t>La défenseure d’office de l’appelant n’ayant pas déposé d’Etat de frais, la CPAR doit estimer l’activité utilement déployée devant elle, selon les critères usuels d’adéquation et nécessité. Vu l’objet, limité et ne posant aucune difficulté juridique, de l’appel, la faible ampleur du dossier, supposé connu de l’avocate qui venait de le plaider en première instance, et le contenu de l’écriture d’appel, il sera retenu qu’une heure et demi était suffisante à sa rédaction. La rémunération de ce conseil sera partant arrêtée à CHF 387.70 (= CHF 300.- + le forfait de 20% couvrant les activités diverses + la TVA au taux de 7.7% par CHF 27.70).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