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P/5343/2017 vom 23. Mai 2018</w:t>
      </w:r>
    </w:p>
    <w:p>
      <w:r>
        <w:t>GE Cour de justice, 2018-05-23, FR</w:t>
      </w:r>
    </w:p>
    <w:p>
      <w:r>
        <w:rPr>
          <w:b/>
        </w:rPr>
        <w:t xml:space="preserve">Quelle: </w:t>
      </w:r>
      <w:r>
        <w:t>https://mcp.opencaselaw.ch/entscheid/ge_gerichte_P_5343_2017</w:t>
      </w:r>
    </w:p>
    <w:p>
      <w:r>
        <w:t>FR: GE_GERICHTE P/5343/2017 du 23 mai 2018</w:t>
      </w:r>
    </w:p>
    <w:p>
      <w:r>
        <w:t>IT: GE_GERICHTE P/5343/2017 del 23 maggio 2018</w:t>
      </w:r>
    </w:p>
    <w:p>
      <w:pPr>
        <w:pStyle w:val="Heading2"/>
      </w:pPr>
      <w:r>
        <w:t>Regeste</w:t>
      </w:r>
    </w:p>
    <w:p>
      <w:r>
        <w:t>MENDICITÉ ; FIXATION DE L'AMENDE | LPG.11A; CP.106</w:t>
      </w:r>
    </w:p>
    <w:p>
      <w:pPr>
        <w:pStyle w:val="Heading2"/>
      </w:pPr>
      <w:r>
        <w:t>Erwägungen</w:t>
      </w:r>
    </w:p>
    <w:p>
      <w:r>
        <w:rPr>
          <w:b/>
        </w:rPr>
        <w:t>E. 1.1</w:t>
      </w:r>
    </w:p>
    <w:p>
      <w:r>
        <w:t>L’art. 11A al. 1 LPG punit celui qui aura mendié de l’amende, laquelle est d'un montant maximum de CHF 10'000.- (art. 106 al. 1 CP par renvoi de l’art. 1 al. 1 let. a LPG).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 en fonction de la situation financière de l'auteur, fixer la quotité de l'amende de manière à ce qu'il soit frappé dans la mesure adéquate (ATF 129 IV 6 consid. 6.1 ; 119 IV 330 consid. 3).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 Bâle 2009, n. 19 art. 106), taux de conversion généralement appliqué et admis par la jurisprudence.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Le juge doit toutefois pouvoir s’en écarter,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 Jugendstrafgesetz, 2e éd., Bâle 2007, n. 9-10, ad art. 106). 2.1.2. Si, en raison d’un ou plusieurs actes, l’auteur remplit les conditions de plusieurs peines de même genre, le juge le condamne à la peine de l’infraction la plus grave et l’augmente dans une juste proportion (art. 49 al. 1 CP). Le principe de l’aggravation s'applique aussi en cas de concours entre plusieurs contraventions (arrêt du Tribunal fédéral 6B_65/2009 du 13 juillet 2009 consid. 1.3).</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2.2</w:t>
      </w:r>
    </w:p>
    <w:p>
      <w:r>
        <w:t>En l’espèce, la faute de l’intimée n’est pas négligeable au vu de ce qu’elle s’est régulièrement adonnée à la mendicité sur une période de plus de deux ans, sans ignorer l’illicéité de son comportement au vu de ses condamnations successives, ce qu’elle ne prétend par ailleurs pas. Elle a ainsi agi à moult reprises au mépris de la paix publique. Son impécuniosité est sans réelle influence sur sa faute dans la mesure où, en tant que telle, elle est inhérente au cas de mendicité. Au vu de ces éléments, le montant de l’amende arrêté à CHF 150.- par le Tribunal de police est trop bas et s'avère en conséquence nullement dissuasif. Afin de dûment tenir compte aussi bien de la faute de l’intimée que de la précarité de sa situation personnelle, l’amende doit être fixée à CHF 450.-. Le fait que le Tribunal de police ait prononcé, dans des jugements qui n'ont pas fait l'objet d'appel, des amendes pour mendicité de l'ordre de CHF 10.-, ne lie pas la CPAR, qui a, quant à elle, confirmé des amendes pour mendicité de l'ordre de CHF 30.- chacune (arrêts AARP/481/2013 du 3 octobre 2013 et AARP/246/2013 du 30 mai 2013). En ce qui concerne la peine privative de liberté de substitution, elle sera fixée à six jours au regard de la faute commise, l’impécuniosité de l’intimée n’étant pas déterminante à cet égard.</w:t>
      </w:r>
    </w:p>
    <w:p>
      <w:r>
        <w:rPr>
          <w:b/>
        </w:rPr>
        <w:t>E. 3</w:t>
      </w:r>
    </w:p>
    <w:p>
      <w:r>
        <w:t>L'intimée, qui succombe pour l’essentiel, supportera les frais de la procédure envers l'État, comprenant un émolument de CHF 400.- (art. 428 al. 1 CPP et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