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P/5295/2013 vom 20. Oktober 2015</w:t>
      </w:r>
    </w:p>
    <w:p>
      <w:r>
        <w:t>GE Cour de justice, 2015-10-20, FR</w:t>
      </w:r>
    </w:p>
    <w:p>
      <w:r>
        <w:rPr>
          <w:b/>
        </w:rPr>
        <w:t xml:space="preserve">Quelle: </w:t>
      </w:r>
      <w:r>
        <w:t>https://mcp.opencaselaw.ch/entscheid/ge_gerichte_P_5295_2013</w:t>
      </w:r>
    </w:p>
    <w:p>
      <w:r>
        <w:t>FR: GE_GERICHTE P/5295/2013 du 20 octobre 2015</w:t>
      </w:r>
    </w:p>
    <w:p>
      <w:r>
        <w:t>IT: GE_GERICHTE P/5295/2013 del 20 ottobre 2015</w:t>
      </w:r>
    </w:p>
    <w:p>
      <w:pPr>
        <w:pStyle w:val="Heading2"/>
      </w:pPr>
      <w:r>
        <w:t>Regeste</w:t>
      </w:r>
    </w:p>
    <w:p>
      <w:r>
        <w:t>SURSIS À L'EXÉCUTION DE LA PEINE; PRONOSTIC; RISQUE DE RÉCIDIVE; MESURE THÉRAPEUTIQUE INSTITUTIONNELLE; TRAITEMENT AMBULATOIRE; DIRECTIVE(INJONCTION); AMENDEMENT(CONDAMNÉ); EXPERTISE; LÉSION CORPORELLE GRAVE; LÉSION CORPORELLE SIMPLE; EXPOSITION À UN DANGER; MENACE(DROIT PÉNAL); CONTRAINTE(DROIT PÉNAL); ENFANT | CP.42.1; CP.44.1; CP.44.2; CP.94; CP.56; CP.59.1.b; CP.63.2; CP.22.1; CP.122.1; CP.123.2.3; CP.127; CP.180.1; CP.181; LCR.90.2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Il n'y a pas lieu de revenir sur le verdict de culpabilité s'agissant de tentative de lésions corporelles graves sur un enfant, de lésions corporelles simples aggravées, d'exposition, de menaces, de contrainte et d'infraction grave à la LCR, pour des faits au demeurant établis, ni sur la quotité de la peine prononcée, conforme aux éléments du dossier et non contestée en appel. Seules restent désormais à trancher les questions du sursis et d'une mesure thérapeutique. 2.2.1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 arrêt du Tribunal fédéral 6B_713/2007 du 4 mars 2008 = SJ 2008 I p. 277 consid. 2.1.). Le défaut de prise de conscience de la faute peut justifier un pronostic défavorable, car seul celui qui se repent de son acte mérite la confiance que l'on doit pouvoir accorder au condamné bénéficiant du sursis (ATF 140 IV 97 consid. 2.2). 2.2.2 Sur le plan objectif, seules les peines de six mois à deux ans peuvent être assorties du sursis total (cf. art. 42 al. 1 CP). 2.2.3 Lorsque la durée de la peine privative de liberté se situe, comme en l'espèce, entre un et deux ans, permettant le choix entre le sursis complet (art. 42 CP) et le sursis partiel (art. 43 CP), l'octroi du sursis au sens de l'art. 42 est la règle et le sursis partiel l'exception. Celui-ci ne doit être prononcé que si, sous l'angle de la prévention spéciale, l'octroi du sursis pour une partie de la peine ne peut se concevoir que moyennant exécution de l'autre partie (arrêts du Tribunal fédéral 6B_1044/2013 du 4 mars 2014 consid. 3.1 et 6B_664/2007 du 18 janvier 2008 consid. 3.2.3.1). Lorsqu'il existe –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(ATF 134 IV 1 consid. 5.3.1 ; arrêt du Tribunal fédéral 6B_1044/2013 précité).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2.2.4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6B_423/2013 du 27 juin 20123 consid. 5.1 et les références citées ; ATF 95 IV 121 consid. 1). La durée doit être déterminée de manière à offrir la plus grande probabilité que le condamné ne récidivera pas (arrêt du Tribunal fédéral 6B_187/2015 du 28 avril 2015 consid. 5.5 ; R. SCHNEIDER / R. GARRÉ, Basler Kommentar Strafrecht I , 3 e éd., Bâle 2013, n. 4 ad art. 44). 2.2.5 À teneur de l'art. 44 al. 2 CP, le juge peut ordonner une assistance de probation et imposer des règles de conduite pour la durée du délai d'épreuve en cas de suspension de totale ou partielle de l'exécution d'une peine. Les règles de conduites sont consacrées à l'art. 94 CP et portent notamment sur l'activité professionnelle du condamné, son lieu de séjour, la réparation du dommage, ainsi que les soins médicaux et psychologiques. La règle de conduite ne doit pas avoir un rôle exclusivement punitif, mais être conçue en premier lieu dans l'intérêt du condamné, de manière à ce qu'il puisse la respecter. Elle doit avoir un effet éducatif limitant le danger de récidive (ATF 130 IV 1 consid. 2.1 et les références citées).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I consid. 2.2 ; ATF 107 IV 88 consid. 3a). Dans ce cadre, c'est à l'autorité cantonale qu'appartiennent le choix et le contenu des règles de conduite (ATF 130 IV 1 consid. 2.1 ; ATF 106 IV 325 consid. 1). Par ailleurs, les règles de conduite imposées en même temps que le sursis et visant à prévenir un risque de récidive peuvent s'avérer déterminantes dans l'établissement du pronostic (M. DUPUIS / B. GELLER / G. MONNIER / L. MOREILLON / C. PIGUET / C. BETTEX / D. STOLL (éds), Code pénal - Petit commentaire , Bâle 2012, n. 11 ad art. 42).</w:t>
      </w:r>
    </w:p>
    <w:p>
      <w:r>
        <w:rPr>
          <w:b/>
        </w:rPr>
        <w:t>E. 3</w:t>
      </w:r>
    </w:p>
    <w:p>
      <w:r>
        <w:t>3.1.1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que l'atteinte aux droits de la personnalité qui en résulte pour l'auteur ne soit pas disproportionnée au regard de la vraisemblance qu'il commette de nouvelles infractions et de leur gravité (art. 56 al. 2 CP).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3.1.2 Conformément à l'art. 59 al. 1 let. b CP, une mesure thérapeutique institutionnelle ne peut être ordonnée qu'à la condition qu'il soit à prévoir que cette mesure détournera l'auteur de nouvelles infractions en relation avec ce trouble. Il s'ensuit que le prononcé d'une telle mesure, qui suppose un risque de récidive, implique nécessairement un pronostic négatif et, par conséquent, exclut le prononcé du sursis (ATF 135 IV 180 consid. 2). Ce qui précède vaut également en cas de prononcé d'une mesure ambulatoire au sens de l'art. 63 CP (arrêt du Tribunal fédéral 6B_71/2012 du 21 juin 2012 consid. 6). Dans un arrêt 6B_94/2015 du 24 septembre 2015 consid. 1.1., le Tribunal fédéral a rappelé cette jurisprudence, précisant que l'incompatibilité entre sursis et mesure s'applique aussi au sursis partiel. En effet, les conditions du sursis partiel sont les mêmes ; il faut en particulier qu'un pronostic défavorable ne puisse pas être posé (M. DUPUIS / B GELLER / G. MONNIER / L. MOREILLON / C. PIGUET / C. BETTEX / D. STOLL (éds), Code pénal – Petit commentaire , Bâle 2012, n. 6 ad art. 43 CP). 3.1.3 Selon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3.1.4 Le juge n'est en principe pas lié par les conclusions d'une expertise judiciaire ; toutefois, s'il entend s'en écarter, il doit motiver sa décision et ne saurait sans motifs sérieux substituer son opinion à celle de l'expert (ATF 128 I 81 consid. 2 ; ATF 120 III 79 consid. 2c = JdT 1996 II 199 ; ATF 118 Ia 144 consid. 1c ; ATF 116 IV 273 ; ATF 107 IV 7 consid. 5 ; ATF 102 IV 225 consid. 7b ; ATF 101 IV 129 consid. 3a et les références citées ; voir aussi ATF 137 V 210 ; ATF 125 V 351 consid. 3b/bb ; ATF 122 V 157 consid. 1c). En d'autres termes, le juge qui ne suit pas les conclusions de l'expert n'enfreint pas l'art. 9 Cst. lorsque des circonstances bien établies viennent en ébranler sérieusement la crédibilité (ATF 136 IV 55 consid. 5.6 ; ATF 129 I 49 consid. 4 = JdT 2005 IV 141 ; ATF 128 I 81 précité ; ATF 122 V 157 précité). Tel est notamment le cas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 ATF 101 Ib 405 consid. 3b/aa ; ATF 101 IV 129 consid. 3a in fine ). Cela étant, ce n'est pas à l'expert, mais bien au juge qu'il incombe de résoudre les questions juridiques qui se posent dans le complexe de faits faisant l'objet de l'expertise (ATF 118 Ia 144 précité ; ATF 113 II 190 consid. II/1a ; ATF 111 II 72 consid. 3d). Si les conclusions d'une expertise judiciaire lui apparaissent douteuses sur des points essentiels, il doit recueillir des preuves complémentaires pour tenter de dissiper ses hésitations (ATF 118 Ia 144 précité). A défaut, en se fondant sur une expertise non concluante, il pourrait commettre une appréciation arbitraire des preuves et violer l'art. 9 Cst. (ATF 118 Ia 144 précité).</w:t>
      </w:r>
    </w:p>
    <w:p>
      <w:r>
        <w:rPr>
          <w:b/>
        </w:rPr>
        <w:t>E. 3.2</w:t>
      </w:r>
    </w:p>
    <w:p>
      <w:r>
        <w:t>L'expert évalue le risque de récidive de l'intimé A______ comme étant faible à moyen, précisant qu'un traitement thérapeutique serait une façon de le diminuer, parallèlement à la sanction pénale. Il n'y a pas lieu de s'écarter de cette expertise, qui ne prête pas le flanc à la critique, étant relevé que dans l'évaluation de ce risque de récidive il a précisément été tenu compte des " zones d'ombre " pouvant subsister dans le parcours et la personnalité de l'intimé qui a refusé l'accès à ses dossiers médicaux psychiatriques et à ses antécédents comme mineur. La CPAR fait siens les motifs ayant conduit le premier juge à considérer que le pronostic quant au comportement futur de l'intimé A______ était favorable. Ce pronostic n'est en tous les cas pas défavorable. Le Ministère public n'allègue au demeurant pas que des éléments auraient été omis par les premiers juges pour parvenir à cette appréciation. L'intimé A______ a en effet repris une activité professionnelle quelques jours seulement après sa mise en liberté provisoire, soit depuis plus de deux ans. Il suit depuis lors avec assiduité une psychothérapie, à un rythme mensuel décidé par sa thérapeute. Le lien thérapeutique est jugé bon par la psychologue, qui a pu aborder les infractions retenues avec son patient. L'intimé A______ reconnaît les faits reprochés, exprime du dégoût à leur encontre et s'est éloigné de l'intimé C______ et de sa mère et, partant, du contexte dans lequel il a commis les infractions reprochées. Depuis sa remise en liberté, l'intimé a respecté toutes les mesures de substitution ordonnées par le Tribunal des mesures de contrainte. Même à suivre le Tribunal de police qui retient une prise de conscience limitée, cela ne saurait renverser le pronostic posé au vu de l'ensemble des circonstances.</w:t>
      </w:r>
    </w:p>
    <w:p>
      <w:r>
        <w:rPr>
          <w:b/>
        </w:rPr>
        <w:t>E. 3.3</w:t>
      </w:r>
    </w:p>
    <w:p>
      <w:r>
        <w:t>La CPAR ne voit pas davantage de raison de s'écarter des conclusions de l'expert tendant au suivi par l'intimé A______ d'une thérapie, laquelle a été ordonnée, à juste titre, par le Tribunal de police en tant que règle de conduite.</w:t>
      </w:r>
    </w:p>
    <w:p>
      <w:r>
        <w:rPr>
          <w:b/>
        </w:rPr>
        <w:t>E. 3.4</w:t>
      </w:r>
    </w:p>
    <w:p>
      <w:r>
        <w:t>En conséquence, les conclusions du Ministère ne sauraient être accueillies favorablement par la CPAR. Principalement, le Ministère public demande qu'une peine ferme, respectivement partiellement assortie du sursis soit prononcée et assortie d'un traitement ambulatoire. Or, le pronostic de l'appelant ne peut être qualifié de défavorable, au vu notamment de la règle de conduite qui accompagne l'octroi du sursis. Subsidiairement, le Ministère public requiert le prononcé d'une peine ferme suspendue au profit d'un traitement ambulatoire. Cependant, et comme l'admet le Ministère public qui n'allègue pas que la CPAR devrait s'écarter de l'expertise, il y est expressément précisé que l'exécution d'une peine privative de liberté est compatible avec le traitement. Partant, il ne saurait être question de condamner l'intimé A______ à une peine ferme, qui serait suspendue au profit d'un traitement ambulatoire. Finalement, et comme relevé supra , dans la mesure où le pronostic de l'intimé A______ ne peut être qualifié de défavorable, ce qui commande que le sursis soit prononcé, une mesure de traitement ambulatoire en application de l'art. 63 CP est exclue ipso jure ; cette solution proposée par le Ministère public est partant clairement incompatible avec la jurisprudence fédérale topique, comme l'a rappelé à juste titre le tribunal de première instance et qui vaut également pour le sursis partiel, comme récemment tranché par notre Haute instance. En conséquence, la Chambre de céans confirmera l'octroi du sursis à l'intimé A______ et la règle de conduite tendant au suivi d'un traitement psychothérapeutique, à une fréquence à déterminer par les thérapeutes mais d'au minimum une fois par mois.</w:t>
      </w:r>
    </w:p>
    <w:p>
      <w:r>
        <w:rPr>
          <w:b/>
        </w:rPr>
        <w:t>E. 3.5</w:t>
      </w:r>
    </w:p>
    <w:p>
      <w:r>
        <w:t>Il reste à déterminer la durée du délai d'épreuve – fixée en première instance à trois ans – qui apparaît être le réel motif de l'appel du Ministère public, inquiet de l'arrêt du traitement de l'intimé A______ à son échéance. Compte tenu des différents éléments du cas d'espèce, en particulier de la gravité des faits et le risque de récidive durant les années à venir en l'absence de traitement tel que précisé par l'expert psychiatre, un tel traitement psychothérapeutique devant à l'évidence s'inscrire sur une longue durée, le délai d'épreuve sera fixé à cinq ans, associé à la règle de conduite, lesquels sont de nature à exercer la pression nécessaire sur l'intimé A______ pour qu'il renonce à commettre de nouvelles infractions. L'intimé ne s'est au demeurant pas opposé à cette durée. S'y ajoutera, comme ordonné par les juges de première instance, une assistance de probation pour s'assurer du suivi strict du traitement thérapeutique par le SPI, service à même d'alerter les autorités si l'intimé ne s'y soumettait plus régulièrement et qui devra recevoir tous les trois mois une attestation dudit suivi. Il ne sera pas inutile de rappeler au condamné qu'en cas de récidive ou de violation de la règle de conduite, le sursis pourrait être révoqué et la réintégration dans l'exécution de la peine ordonnée aux conditions des art. 46 al. 1 et 95 al. 5 CP.</w:t>
      </w:r>
    </w:p>
    <w:p>
      <w:r>
        <w:rPr>
          <w:b/>
        </w:rPr>
        <w:t>E. 4</w:t>
      </w:r>
    </w:p>
    <w:p>
      <w:r>
        <w:t>Bien que l'appelant succombe pour majeure partie, les frais de la procédure seront laissés à charge de l'Etat vu sa qualité (art. 428 CPP).</w:t>
      </w:r>
    </w:p>
    <w:p>
      <w:r>
        <w:rPr>
          <w:b/>
        </w:rPr>
        <w:t>E. 5</w:t>
      </w:r>
    </w:p>
    <w:p>
      <w:r>
        <w:t>5.1.1 En vertu de l'art. 436 al. 2 CPP, lorsque ni un acquittement total ou partiel ni un classement ne sont prononcés, le prévenu peut prétendre à une juste indemnité dans la procédure de recours (" Rechtsmittelverfahren ") s'il obtient gain de cause "sur d'autres points", à savoir les points accessoires d'un jugement, soit par exemple lorsque le prévenu obtient une peine inférieure à celle infligée par le jugement de première instance ( ACPR/41/2012 du 30 janvier 2012 ; M. NIGGLI / M. HEER / H. WIPRÄCHTIGER, Schweizerische Strafprozessordnung / Schweizerische Jugendstrafprozessordnung, Basler Kommentar StPO/JStPO , Bâle 2011, n. 7 ad art. 436). Lorsque le Ministère public fait recours mais succombe, le prévenu n'aura, en principe, pas à supporter les frais de la procédure de recours et aura, en outre, droit à une indemnité en rapport avec celle-ci (L. MOREILLON / A. PAREIN-REYMOND, CPP, Code de procédure pénale , Bâle 2013, n. 6 ad art. 436 CPP et les références citées). 5.1.2 Les frais d'avocat, pour autant qu'ils soient proportionnés, se calculent selon le tarif applicable (N. SCHMID, op. cit. , n. 7 ad art. 429 CPP ; F. RIKLIN, StPO Kommentar Eidgenössische Strafprozessordnung , Zurich 2010, n. 3 ad art. 429 CPP). Celui-ci doit être déterminé en fonction du montant usuellement reconnu au lieu où se déroule la procédure (J. PITTELOUD, Code de procédure pénale suisse - Commentaire à l'usage des praticiens , Zurich/St-Gall 2012, n. 1351 p. 890).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jurisprudence retient en principe un tarif horaire de CHF 400.- pour un chef d'étude (cf. ATF 135 III 259 consid. 2 ; arrêts du Tribunal fédéral 6B_856/2014 du 10 juillet 2015 consid. 2.4 et 2C_725/2010 du 31 octobre 2011 consid. 2.3 ; arrêts du Tribunal fédéral 2C_845/2013 du 28 avril 2014 consid. 3.4 et 2C_25/2008 du 18 juin 2008 consid. 4.2.5). A Genève, la Commission de taxation admet dans les affaires ordinaires un tarif horaire de CHF 450.- pour un avocat chef d'Étude (cf. AARP/125/2012 du 30 avril 2012 consid. 4).</w:t>
      </w:r>
    </w:p>
    <w:p>
      <w:r>
        <w:rPr>
          <w:b/>
        </w:rPr>
        <w:t>E. 5.2</w:t>
      </w:r>
    </w:p>
    <w:p>
      <w:r>
        <w:t>En l'occurrence, l'intimé ayant pour l'essentiel obtenu gain de cause, le principe d'une indemnisation de ses frais d'avocat lui est acquis. Me B______ est intervenu dans la procédure depuis le 26 août 2013 comme défenseur privé au sens de l'art. 129 CPP. Il conclut au versement de CHF 2'592.-, TVA comprise, pour l'activité déployée en seconde instance, représentant 6h d'activité au taux horaire de CHF 400.- et incluant une estimation de 1h pour l'audience devant la CPAR. Cette audience ayant duré 1h15', 15 minutes seront ajoutées à la durée globale demandée pour une activité en adéquation avec la difficulté de la cause, le taux horaire étant conforme à la jurisprudence. C'est ainsi un montant de CHF 2'700.- qui sera versé à Me B______ (CHF 400.- x 6h15' plus 8% de TVA).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