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P/5292/2014 vom 7. August 2015</w:t>
      </w:r>
    </w:p>
    <w:p>
      <w:r>
        <w:t>GE Cour de justice, 2015-08-07, FR</w:t>
      </w:r>
    </w:p>
    <w:p>
      <w:r>
        <w:rPr>
          <w:b/>
        </w:rPr>
        <w:t xml:space="preserve">Quelle: </w:t>
      </w:r>
      <w:r>
        <w:t>https://mcp.opencaselaw.ch/entscheid/ge_gerichte_P_5292_2014</w:t>
      </w:r>
    </w:p>
    <w:p>
      <w:r>
        <w:t>FR: GE_GERICHTE P/5292/2014 du 7 août 2015</w:t>
      </w:r>
    </w:p>
    <w:p>
      <w:r>
        <w:t>IT: GE_GERICHTE P/5292/2014 del 7 agosto 2015</w:t>
      </w:r>
    </w:p>
    <w:p>
      <w:pPr>
        <w:pStyle w:val="Heading2"/>
      </w:pPr>
      <w:r>
        <w:t>Regeste</w:t>
      </w:r>
    </w:p>
    <w:p>
      <w:r>
        <w:t>NOUVEAU MOYEN DE PREUVE; IN DUBIO PRO REO; RÈGLE DU JEU; APPRÉCIATION DES PREUVES; FIXATION DE LA PEINE; EXPERTISE MÉDICALE; LÉSION CORPORELLE SIMPLE; SURSIS À L'EXÉCUTION DE LA PEINE; TORT MORAL; INTENTION | CP.123.1; CO.47; Lois du jeu 2013/2014 (FIFA)</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second alinéa est réalisée, l'autorité de recours n'en administrant pas moins, d'office ou à la demande d'une partie, les preuves complémentaires nécessaires au traitement du recours (al. 3). Il s’ensuit que les faits et preuves nouveaux (vrais ou pseudo nova )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aux art. 403 al. 4 et 331 al. 1 CPP applicables par renvoi de l'art. 405 al. 1 CPP, la direction de la procédure statue sur les réquisitions de preuve présentées avec la déclaration d'appel. En cas de traitement de l’appel en procédure écrite, la juridiction d’appel rend sa décision sur la base du dossier et administre les compléments de preuve (art. 390 al. 4 cum. 406 al. 4 CPP).</w:t>
      </w:r>
    </w:p>
    <w:p>
      <w:r>
        <w:rPr>
          <w:b/>
        </w:rPr>
        <w:t>E. 2.2</w:t>
      </w:r>
    </w:p>
    <w:p>
      <w:r>
        <w:t>. La CPAR fait siens les motifs de l’ordonnance présidentielle OARP/175/2015 du 2 juin 2015, qui ont présidé au refus d’ordonner les réquisitions de preuves formulées par l’appelant principal.</w:t>
      </w:r>
    </w:p>
    <w:p>
      <w:r>
        <w:rPr>
          <w:b/>
        </w:rPr>
        <w:t>E. 2.3</w:t>
      </w:r>
    </w:p>
    <w:p>
      <w:r>
        <w:t>La pièce supplémentaire produite par l’appelant joint en annexe de son mémoire consiste en une confirmation en vue d’une auscultation au service de neurologie des HUG prévue le 27 mars 2015. En plus d’avoir été produite tardivement, cette pièce ne s’avère pas essentielle pour trancher le présent appel, ne donnant en effet aucune indication sur la situation médicale du plaignant. Cette pièce sera dès lors écartée de la procédure et classée dans une cote à part, pour permettre cas échéant un contrôle de la décision sur les réquisitions de preuves par le Tribunal fédéral.</w:t>
      </w:r>
    </w:p>
    <w:p>
      <w:r>
        <w:rPr>
          <w:b/>
        </w:rPr>
        <w:t>E. 3</w:t>
      </w:r>
    </w:p>
    <w:p>
      <w:r>
        <w:t>3.1.1. Le principe in dubio pro reo , qui découle de la présomption d'innocence, garantie par l'art. 6 ch. 2 Convention de sauvegarde des droits de l’homme et des libertés fondamentales du 4 novembre 1950 [CEDH ; RS 0.101] et, sur le plan interne, par l'art. 32 al. 1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3.1.2. Le juge du fait dispose d'un large pouvoir dans l'appréciation des preuves (ATF 120 Ia 31 précité). Lorsqu'il est confronté à des versions contradictoires, il forge sa conviction sur la base d'un ensemble d'éléments ou d'indices convergents. En pareil cas, il ne suffit pas que l'un ou l'autre de ceux-ci ou même chacun d'entre eux pris isolément soit à lui seul insuffisant.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127 I 38 consid. 2a p. 41 ; 120 Ia 31 précité ; arrêts du Tribunal fédéral 6B_827/2007 du 11 mars 2008 consid. 5.1 et 6P.114/2006 du 17 août 2006 consid. 2.1). 3.2.1.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3.2.2. Selon l'art. 12 al. 2 CP, agit intentionnellement quiconque commet un crime ou un délit avec conscience et volonté. 3.2.3.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 volonté (arrêt du Tribunal fédéral 6B_388/2015 du 22 juin 2015 consid. 5.4 et les références citées). 3.2.4. Pour qualifier pénalement les fautes commises dans les sports d’équipes, les règles du jeu doivent également être prises en considération. Ainsi, lorsque le risque spécifique à un certain sport se réalise, il convient de renoncer à une poursuite pénale. Les heurts et lésions corporelles inévitables, qui se produisent lors de compétitions de sports d’équipe impliquant de fréquents contacts physiques, font partie de ce risque spécifique. Toutefois, plus grave est la violation d’une règle visant à protéger l’intégrité corporelle du joueur, moins on pourra parler de réalisation du risque inhérent à un sport et plus il faudra envisager une responsabilité pénale du joueur (ATF 134 IV 26 consid. 3.2.5 p. 30 in JT 2009 IV 43 , p. 47). 3.2.5. À teneur du document « Lois du Jeu 2013/2014 » édité par la Fédération internationale de football association (FIFA), une faute ou une incorrection résulte du comportement d’un joueur imprudent, téméraire ou dont l’engagement est excessif (Loi 12 – fautes et incorrections, p. 36). Pour qu’une faute soit caractérisée comme telle, l’infraction doit, notamment, s’être produite pendant que le ballon était en jeu. Les conséquences peuvent être, alternativement, l’absence de sanction, l’avertissement ou l’exclusion (Loi 12, p. 117). Un joueur se rend coupable d’un acte de brutalité s’il agit avec excès d’engagement ou brutalité envers un adversaire alors qu’ils ne disputent pas le ballon. Un tel comportement est automatiquement sanctionné d’une exclusion (Loi 12, p. 127). 3.3.1. En l'espèce, il est établi, et non contesté, qu'en date du 1 er mars 2014, à l'occasion d'une partie de football se déroulant sur le lieu de la promenade de la prison de Champ-Dollon, C______ a reçu sur le côté gauche de son visage un coup de genou venant de l’appelant, entraînant les conséquences médicales décrites notamment dans le rapport du CURML du 11 avril 2015. L'intimé, interrogé par le personnel de la prison et le premier médecin qui l'a ausculté, a affirmé que ses blessures étaient dues à un accident, avant de déposer, quelques jours plus tard, plainte à l'encontre de l'appelant. Depuis, ses déclarations n'ont en substance plus varié, affirmant avoir reçu un coup involontaire dans les parties génitales de la part de l'appelant, avoir sur ce émis une remarque à son égard avant que celui-ci, qui se trouvait derrière lui, alors accroupi, s'approche, saisisse sa tête et lui assène un coup de genou au visage, ainsi que deux coups de poing entre les yeux. Cette version est compatible avec les lésions constatées médicalement et dont le rapport d'expertise du CMURL dit qu'elles sont évocatrices d'une hétéro-agression. Le fait que l'intimé ait, dans un premier temps, prétendu avoir été victime d'un accident et n'ait déposé plainte que plus de deux semaines après les faits peut aisément s'expliquer par sa crainte, comme il l’a allégué, de mettre en péril son transfert ainsi que celui de l'appelant dans un établissement de peine, étant relevé que ce dernier ne conteste pas le principe de l'attente d'un tel transfert au moment des faits. À l'inverse, les explications de A______ sur la cause des lésions constatées chez l'intimé manquent singulièrement de constance et de crédibilité. Si l'appelant a toujours soutenu que les blessures infligées à l'intimé étaient le fruit d'un accident et contesté quelqu’agression de sa part, ses déclarations n'ont par contre cessé de varier quant aux circonstances précises du coup reçu par l'intimé. Interrogé par la police, l'appelant a affirmé que la tête de la victime avait heurté son genou, sans autre précision. Devant le Ministère public, l'appelant a confirmé cette version, avant d'expliquer qu'il avait tiré dans le ballon juste avant que la tête de l'intimé ne heurte son genou. Devant le premier juge, l'appelant a confirmé cette version pour ensuite affirmer que le plaignant avait glissé juste avant que lui-même ne shoote dans le ballon. L’intimé était, selon lui, resté debout saignant du nez, ce qui a été contredit par la victime elle-même, qui dit s’être retrouvée au sol après le choc, ce qui a été confirmé par I______. La CPAR tient pour difficilement concevable que l'intimé ait pu glisser sur un sol constitué de béton et ce pour aller se cogner "accidentellement" contre le genou de l'appelant. L'importance et la nature des lésions subies par la victime s'avèrent par ailleurs fort peu compatible avec la thèse de l'accident. Les premiers secours, que l'appelant dit avoir fournis au blessé, pourraient éventuellement étayer un tant soit peu la thèse de l'accident. Il est vrai que I______ dit avoir vu quatre ou cinq personnes s’affairer autour d’une autre, qui était assise, sans préciser si l’appelant principal faisait partie de ce groupe. Or, C______ a constamment affirmé que G______ et un autre détenu l'avaient secouru, à l'exclusion de A______. G______ a confirmé ce point, soit sa propre intervention, sans toutefois répondre à la question de savoir si d'autres personnes avaient participé au secours de l'appelant joint. Il semblerait cependant que certains témoins des évènements n’ont pas souhaité s’exprimer par peur de représailles. À cet égard, la déposition devant le Ministère public du G______ est édifiante, lui qui était présent sur les lieux, dit avoir porté secours à la partie plaignante et en même temps affirmé ne se souvenir de rien quelques mois après les faits. Le nombre des personnes présentes ayant secouru l’intimé et leur identité est partant difficile à établir. Cet élément n’est cependant pas de nature à ébranler la conviction de la CPAR qui tient pour établi que l’appelant n’a d’aucune manière porté secours à la victime après l’avoir volontairement blessée grièvement. 3.3.2. L'appelant argue pour terminer qu'aucune violation des règles du jeu ne lui a été reprochée et que, partant, il ne saurait être reconnu coupable de la violation d’une norme pénale. Cette argumentation ne convainc pas. L’appelant part de la fausse prémisse que le coup porté au visage du plaignant s’inscrivait dans le cadre du jeu à un moment où les protagonistes se disputaient le ballon. Comme rappelé supra , cette version n’est pas crédible et n’est pas compatible avec les blessures infligées au plaignant. Au demeurant, un coup de genou délibéré, hors cadre du jeu et asséné dans le visage d'un participant à l'occasion d'une quelconque rencontre sportive, à l'exception évidente des sports de combat, ne saurait entrer dans le champ d’application de la jurisprudence du Tribunal fédéral applicable en l’espèce. En effet, une telle attitude ne fait à l'évidence pas partie des risques autorisés dans les cas d'activités sportives dont le but principal n'est pas d'infliger volontairement des blessures à l'adversaire. Partant, l’on ne saurait mesurer la punissabilité pénale de l’appelant à l’aune d’une quelconque règle sportive. En tout état, le coup porté par l’appelant constitue à l’évidence un acte de brutalité au sens de la règlementation sportive topique dont l’appelant souhaiterait se prévaloir. Son argument tombe à faux dans la mesure où la sanction automatique d’un tel comportement est l’exclusion du jeu. Ceci signifie bien qu’un tel comportement ne fait pas partie de ceux prévus et dont le risque est accepté dans le cadre de la participation à un match de football. En conclusion, c'est à juste titre que le premier juge a reconnu l'appelant coupable de lésions corporelles simples au sens de l'art. 123 ch. 1 CP, étant précisé qu'aucune des parties ne conteste cette qualification juridique, qui ne paraît guère discutable. Le jugement sera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lit. B p. 201). Pour les peines de six mois à une année, la loi prévoit une peine privative de liberté ou une peine pécuniaire (art. 34 al. 1 et 40 1 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 4.1.3.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4.2.1. En l'espèce, la faute de l'appelant est importante. Il s'en est pris avec violence à l'intégrité physique d'un codétenu qui ne présentait aucune menace pour lui. Pis, ce dernier était déjà affaibli, ayant reçu un précédent coup de l'appelant, certes apparemment involontaire, dans ses parties génitales. La violence du coup fut telle que la victime a dû subir deux hospitalisations et une opération lourde du visage sous anesthésie générale, avec des séquelles relativement importantes, toujours actuelles. Les motifs qui ont poussé l'appelant à agir sont futiles et égoïstes. Celui-ci n'a pas supporté une remarque sur son comportement brutal durant une partie de football. Son mobile relève d'une fierté mal placée. La collaboration de l'appelant tout au long de la procédure a été moyenne. Il a certes reconnu les faits, mais n'a cessé de nier toute faute. Corolairement, sa prise de conscience est inexistante, tentant de faire passer les faits pour un malheureux incident de jeu. Ses antécédents sont mauvais, bien que non spécifiques. Cependant, l’appelant a été successivement condamné à une peine pécuniaire avec sursis, à une peine privative de liberté assorti du sursis partiel puis à une peine privative liberté sans sursis. Dans l'optique de la prévention spéciale, la seule peine appropriée et qui est susceptible d’inciter l’appelant à adopter un mode de comportement plus respectueux des lois et de la santé d'autrui est en l'espèce la peine privative de liberté. En conclusion, tant le type que la quotité de la peine prononcée par le premier juge sont adéquates et prennent en compte de manière appropriée l’ensemble des éléments susmentionnés. La peine privative de liberté d'une durée de six mois sera donc confirmée. 4.2.2. L’appelant a bénéficié lors de sa première condamnation du sursis complet avant de commettre de nouvelles infractions et de bénéficier, cette fois-ci, du sursis partiel, étant précisé qu’il s’agissait de sa première condamnation pour infraction grave à la législation sur les stupéfiants. Toutefois, cela ne l’a pas empêché de récidiver et de commettre une nouvelle infraction grave à ladite législation. Le pronostic est par conséquent clairement défavorable, aussi le refus du sursis prononcé par le premier juge sera confirmé.</w:t>
      </w:r>
    </w:p>
    <w:p>
      <w:r>
        <w:rPr>
          <w:b/>
        </w:rPr>
        <w:t>E. 5.1</w:t>
      </w:r>
    </w:p>
    <w:p>
      <w:r>
        <w:t>En vertu de l'art. 126 al. 1 let. a CPP, le tribunal statue sur les prétentions civiles présentées lorsqu'il rend un verdict de culpabilité à l'encontre du prévenu. 5.2.1.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5.2.2.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 arrêts du Tribunal fédéral 6B_447/2014 du 30 octobre 2014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et les répercussions sociales et psychiques de l'acte (HÜTTE / DUCKSCH / GROSS / GUERRERO, Le tort moral, une présentation synoptique de jurisprudence , 3 e éd. 2005, n. I/71a-77a). 5.2.3.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 arrêt du Tribunal fédéral 6B_199/2007 précité consid. 6.2). À Genève, une indemnité pour tort moral de CHF 5'000.- a ainsi été octroyée à la victime d'une agression commise par des mineurs, lors de laquelle elle avait été rouée de coups sur le haut du corps et en particulier le visage, souffrant d'une fracture de la mâchoire, de violents maux de tête et d'importantes douleurs (arrêt de la CPAR AARP/402/2012 du 30 octobre 2012 consid. 5.3.2). Les indemnités pour tort moral suivantes ont été attribuées (HÜTTE / DUCKSCH / GROSS / GUERRERO, op. cit. , VIII/27 1998-2000 n. 12g, VIII/28 1998-2000 n. 15 et VIII/28 1998-2000 n. 15a) : -          CHF 4'200 pour une femme rouée de coups par un policier dans le cadre de l'arrestation musclée de son époux ; ![endif]&gt;![if&gt; -          CHF 5'000.- pour un gérant de restaurant auquel des coups brutaux ont été assénés par deux individus, au motif que la victime avait refusé de se faire racketter ; ![endif]&gt;![if&gt; -          CHF 5'000.- pour un homme qui avait laissé s'égarer le chien à lui confié par deux hommes alcoolisés et sous l'emprise de la drogue, ces derniers lui ayant donné des coups et des gifles et l'ayant menacé avec un revolver.![endif]&gt;![if&gt;</w:t>
      </w:r>
    </w:p>
    <w:p>
      <w:r>
        <w:rPr>
          <w:b/>
        </w:rPr>
        <w:t>E. 5.3</w:t>
      </w:r>
    </w:p>
    <w:p>
      <w:r>
        <w:t>En l'espèce, les atteintes physiques et psychiques subies par l'appelant, directement liées aux infractions reprochées à l'appelant, remplissent à l'évidence le critère de la gravité, de sorte que le principe d'une indemnisation du tort moral est acquis. L'intimé a subi deux hospitalisations et une opération sous anesthésie générale. Son état a ensuite nécessité la prise de médicaments et il continue aujourd'hui à ressentir des douleurs au visage et des problèmes de vision. Toutefois, il ressort du certificat médical du 27 novembre 2014 que l'évolution de la situation médicale est excellente. Le plaignant n'allègue pas souffrir de trouble psychique particulier, les troubles du sommeil étant causés par un dérèglement du cycle jour-nuit sans qu'un lien avec l'agression soit même évoqué. Il ne ressort pas non plus de la procédure qu'il souffrirait d'un dommage esthétique particulier, celui-ci se contentant d'alléguer que le visage est une partie importante de son anatomie. Enfin, il n'allègue pas non plus un préjudice permanent et qui mettrait, par hypothèse, en péril son avenir économique. Pour le surplus, l'on ne parvient pas à établir un lien de causalité entre l'agression et les lombalgies chroniques et dont le certificat médical dit qu'elles sont simples. Quant aux troubles oculaires, leur portée doit être relativisée, le seul traitement préconisé ayant été l'application de compresses chaudes et la pratique de massage des paupières pour un problème de conjonctivite. Au vu de l'ensemble des circonstances et des cas similaires desquels il est possible de tirer des comparaisons, la juridiction d'appel retiendra que la somme de CHF 5'000.- allouée à l'appelant joint en première instance est adéquate et doit être confirmée. Le jugement entrepris sera intégralement confirmé.</w:t>
      </w:r>
    </w:p>
    <w:p>
      <w:r>
        <w:rPr>
          <w:b/>
        </w:rPr>
        <w:t>E. 6</w:t>
      </w:r>
    </w:p>
    <w:p>
      <w:r>
        <w:t>6.1. L’appelant, qui succombe intégralement, supportera les 5/6 des frais de la procédure d'appel envers l'Etat, comprenant un émolument de jugement de CHF 2'500.- (art. 428 al. 1 CPP).</w:t>
      </w:r>
    </w:p>
    <w:p>
      <w:r>
        <w:rPr>
          <w:b/>
        </w:rPr>
        <w:t>E. 6.2</w:t>
      </w:r>
    </w:p>
    <w:p>
      <w:r>
        <w:t>L’appelant joint, qui succombe intégralement aussi, cependant dans une moindre mesure ne remettant en cause que la quotité de son tort moral, supportera 1/6 desdits frais (427 al. 1 lit. c CPP et art. 428 al. 1).</w:t>
      </w:r>
    </w:p>
    <w:p>
      <w:r>
        <w:rPr>
          <w:b/>
        </w:rPr>
        <w:t>E. 7</w:t>
      </w:r>
    </w:p>
    <w:p>
      <w:r>
        <w:t>7 .1. Les frais imputables à la défense d’office et à l'assistance judiciaire gratuite sont des débours (art. 422 al. 2 let. a CPP) qui constituent des frais de procédure (art. 422 al. 1 CPP).</w:t>
      </w:r>
    </w:p>
    <w:p>
      <w:r>
        <w:rPr>
          <w:b/>
        </w:rPr>
        <w:t>E. 7.2</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23 mars 2015.</w:t>
      </w:r>
    </w:p>
    <w:p>
      <w:r>
        <w:rPr>
          <w:b/>
        </w:rPr>
        <w:t>E. 7.3</w:t>
      </w:r>
    </w:p>
    <w:p>
      <w:r>
        <w:t>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7.4.1. L’activité déployée en appel par Me B______, défenseur d’office de l'appelant, s’élève à 15h30 heures pour un chef d’étude, y compris l’heure supplémentaire alléguée dans son mémoire réponse à l’appel joint, hors forfait de 20%. Cependant, le poste visant 1 heure 30 pour « Déclaration d'appel » sera partiellement écarté, puisque pris en considération au titre de l’indemnisation forfaitaire ; 30 minutes seront toutefois prises en compte au titre des réquisitions de preuves. De même, le poste « Annonce d’appel » daté du 9 mars 2015, par définition, destiné au tribunal de première instance et partant antérieur à la saisine de la CPAR, entre dans le forfait, aucune mention de temps n’étant, au surplus, présente. Le temps consacré pour « Rédaction de l’appel y compris recherches juridiques » est excessif et sera ramené à 4 heures, le mémoire d’appel contenant principalement les déclarations des parties et le temps consacré aux recherches juridiques n'étant pas indemnisé par l'assistance juridique. Pour ce qui est de l’ajout d’une heure activité indiquée au bas du mémoire réponse à l’appel joint, sa durée est au demeurant excessive et sera ramenée à trente minutes. Pour le surplus, l’activité exercée par Me B______ pour la défense des intérêts de l’appelant est en adéquation avec la nature, l'importance et la difficulté de la cause, étant précisé qu'il n'y a pas lieu à couverture de la TVA, à défaut d’assujettissement du conseil en question, selon le Registre IDE tenu par l’Office fédéral de la statistique. En définitive, il sera retenu 8 heures d’activités pour un chef d’étude au tarif horaire de CHF 200.-, correspondant à CHF 1'600.-, plus forfait de 20%, correspondant à CHF 320.-. 7.4.2. L’activité déployée en appel par Me D______, conseil juridique gratuit de l’appelant, joint s’élève à 300 minutes, y compris les 160 minutes mentionnées dans sa réponse à l’appel, ce hors forfait de 20%. Toutefois, le poste de 20 minutes pour « Préparation bordereau de pièces » ne sera pas pris en compte, lesdites pièces étant toutes déjà présentes à la procédure, à l’exception d’une pièce écartée par la CPAR. Il ne sera retenu que 90 minutes d’activité pour la rédaction du mémoire de réponse à l’appel principal et la relecture du dossier, au vu du temps passé à l’étude du dossier en première instance. Pour le surplus, l’activité exercée par Me D______ pour la défense des intérêts de l'intimé et appelant joint est en adéquation avec la nature, l'importance et la difficulté de la cause. Par conséquent, il sera retenu 3 heures et 30 minutes d’activité pour un chef d’étude au tarif horaire de CHF 200.-, correspondant à CHF 700.- plus forfait de 20%, correspondant à CHF 140.-, ainsi que la TVA s’élevant à CHF 67.20.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