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P/5258/2011 vom 2. Februar 2016</w:t>
      </w:r>
    </w:p>
    <w:p>
      <w:r>
        <w:t>GE Cour de justice, 2016-02-02, FR</w:t>
      </w:r>
    </w:p>
    <w:p>
      <w:r>
        <w:rPr>
          <w:b/>
        </w:rPr>
        <w:t xml:space="preserve">Quelle: </w:t>
      </w:r>
      <w:r>
        <w:t>https://mcp.opencaselaw.ch/entscheid/ge_gerichte_P_5258_2011</w:t>
      </w:r>
    </w:p>
    <w:p>
      <w:r>
        <w:t>FR: GE_GERICHTE P/5258/2011 du 2 février 2016</w:t>
      </w:r>
    </w:p>
    <w:p>
      <w:r>
        <w:t>IT: GE_GERICHTE P/5258/2011 del 2 febbraio 2016</w:t>
      </w:r>
    </w:p>
    <w:p>
      <w:pPr>
        <w:pStyle w:val="Heading2"/>
      </w:pPr>
      <w:r>
        <w:t>Regeste</w:t>
      </w:r>
    </w:p>
    <w:p>
      <w:r>
        <w:t>CONDITION DE RECEVABILITÉ; PARTIE CIVILE; APPEL(CPP); RESPONSABILITÉ DU DÉTENTEUR DE VÉHICULE; FAUTE DU TIERS; RÉDUCTION(EN GÉNÉRAL); DILIGENCE; PRINCIPE DE LA CONFIANCE(RÈGLE DE LA CIRCULATION); RESPONSABILITÉ DU CHEF DE FAMILLE | CC.333.1; CP.125.2; CPP.398.5; CPP.126.3; LCR.59.3; LCR.59.2; LCR.59.1; LCR.31.1; LCR.26.2; LCR.26.1</w:t>
      </w:r>
    </w:p>
    <w:p>
      <w:pPr>
        <w:pStyle w:val="Heading2"/>
      </w:pPr>
      <w:r>
        <w:t>Erwägungen</w:t>
      </w:r>
    </w:p>
    <w:p>
      <w:r>
        <w:rPr>
          <w:b/>
        </w:rPr>
        <w:t>E. 5</w:t>
      </w:r>
    </w:p>
    <w:p>
      <w:r>
        <w:t>L'appelant, qui succombe, supportera les frais de la procédure d'appel, qui comprennent un émolument de jugement de CHF 3'000.- (art. 428 CPP et 14 al. 1 let. e du Règlement fixant le tarif des frais en matière pénale du 22 décembre 2010 [RTFMP ; E 4 10.03]).![endif]&gt;![if&gt;</w:t>
      </w:r>
    </w:p>
    <w:p>
      <w:r>
        <w:rPr>
          <w:b/>
        </w:rPr>
        <w:t>E. 6.1</w:t>
      </w:r>
    </w:p>
    <w:p>
      <w:r>
        <w:t>Les frais imputables à la défense d'office ou à l'assistance juridique gratuite pour la partie plaignante sont des débours (art. 422 al. 2 let. a CPP) qui constituent des frais de procédure (art. 422 al. 1 CPP) et doivent, conformément à l'art. 421 al. 1 CPP, être fixés par l'autorité pénale dans la décision finale au plus tard (ATF 139 IV 199 consid. 5.1 p. 201 s.). La juridiction d'appel est ainsi compétente, au sens de l'art. 135 al. 2 CPP, pour statuer sur l'activité postérieure à sa saisine. ![endif]&gt;![if&gt; 6.2.1. Selon l'art. 135 al. 1 CPP, le défenseur d'office ou le conseil juridique gratuit (cf. art. 138 al. 1 CPP) est indemnisé conformément au tarif des avocats de la Confédération ou du canton du for du procès. S'agissant d'une affaire soumise à la juridiction cantonale genevoise, le règlement sur l'assistance juridique du 28 juillet 2010 (RAJ ; E 2 05.04) s'applique. Aux termes de l'art. 16 RAJ, l'indemnité, en matière pénale, est calculée selon le tarif horaire suivant, débours de l'étude inclus : avocat stagiaire, CHF 65.- (let. a) ; collaborateur, CHF 125.- (let. b) ; chef d'étude, CHF 200.- (let. c). En cas d'assujettissement, l'équivalent de la TVA est versé en sus (al. 1). Seules les heures nécessaires à la défense devant les juridictions cantonales sont retenues et sont appréciées en fonction notamment de la nature, de l'importance et des difficultés de la cause, de la valeur litigieuse, de la qualité du travail fourni et du résultat obtenu (al. 2). 6.2.2. À teneur de la jurisprudence, est décisif pour fixer la rémunération de l'avocat, le nombre d'heures nécessaires pour assurer la défense d'office du prévenu (arrêt du Tribunal fédéral 2C_509/2007 du 19 novembre 2007 consid. 4). Pour fixer cette indemnité, l'autorité doit tenir compte de la nature et de l'importance de la cause, des difficultés particulières que celle-ci peut présenter en fait et en droit, du temps que l'avocat lui a consacré, de la qualité de son travail, du nombre des conférences, audiences et instances auxquelles il a pris part, du résultat obtenu ainsi que de la responsabilité assumée (arrêt du Tribunal fédéral 6B_810/2010 du 25 mai 2011 consid. 2 et les références citées). L'autorité judiciaire doit prendre en compte la liste de frais présentée et motiver au moins brièvement les postes sur lesquels elle n'entend pas confirmer les montants ou les durées y figurant (arrêt du Tribunal fédéral 6B_124/2012 du 22 juin 2012 consid. 2.3 et les références citées). Les autorités cantonales jouissent d'une importante marge d'appréciation lorsqu'elles fixent, dans la procédure, la rémunération du défenseur d'office ou du conseil juridique gratuit (arrêt du Tribunal fédéral 6B_856/2014 du 10 juillet 2015 consid. 2.3 et les références citées). 6.2.3. Reprenant l'activité de taxation suite à l'entrée en vigueur du CPP, la CPAR a maintenu dans son principe l'ancienne pratique selon laquelle l'activité consacrée aux conférences, audiences et autres actes de la procédure était forfaitairement majorée de 20% jusqu'à 30 heures d'activité, 10% lorsque l'état de frais porte sur plus de 30 heures, pour couvrir les démarches diverses, telles la rédaction de courriers ou notes, les entretiens téléphoniques et la lecture de communications, pièces et décisions, sous réserve d'exceptions possibles, pour des documents particulièrement volumineux ou nécessitant un examen poussé, charge à l'avocat d'en justifier. Cette pratique s'explique par un souci de simplification et de rationalisation, l'expérience enseignant qu'un taux de 20% jusqu'à 30 heures de travail dans un même dossier, 10% au-delà, permet de couvrir les prestations n'entrant pas dans les postes de la procédure et répondant à l'exigence de nécessité et d'adéquation. Dans une ordonnance du 3 août 2015 (ordonnance de la Cour des plaintes du Tribunal pénal fédéral BB.2015.35 du 3 août 2015 consid. 5.3), le Tribunal pénal fédéral a certes considéré que l'activité déployée avant la saisine de la juridiction d'appel n'entrait pas en considération pour la détermination du taux forfaitaire à appliquer aux diligences prestées en deuxième instance. Cette décision ne tient cependant pas compte de deux éléments. D'une part, la CPAR ne fait que s'inspirer, en les adaptant, faisant de la sorte usage de ses prérogatives de juge, des directives du Service de l'assistance juridique antérieures à l'adoption du CPP, lesquelles n'ont pas force de loi ni de règlement (arrêt du Tribunal fédéral 6B_165/2014 du 19 août 2014 consid. 3.5). D'autre part, en tout état, la pratique a toujours été de faire masse de toutes les heures consacrées par le même avocat au même dossier, étant rappelé qu'avant l'entrée en vigueur du CPP, la taxation avait lieu à la fin de la procédure cantonale, par le prononcé d'une décision unique. Aussi la CPAR continue-t-elle de tenir compte de l'ensemble de l'activité pour arrêter la majoration forfaitaire à 10 ou 20%, estimant que le fait qu'une décision de taxation intervienne séparément pour l'activité antérieure à sa saisine n'a pas de pertinence, cette circonstance n'ayant aucune influence sur la quantité de travail effectué par l'avocat en deuxième instance. 6.2.4. Les communications et courriers divers sont en principe inclus dans le forfait ( AARP/326/2015 du 16 juillet 2015 ; AARP/193/2015 du 27 avril 2015) de même que d'autres documents ne nécessitant pas ou peu de motivation ou autre investissement particulier en termes de travail juridique, telle la déclaration d'appel (ordonnance de la Cour des plaintes du Tribunal pénal fédéral BB.2014.51 du 21 novembre 2014 consid. 2.1 ; décisions de la Cour des plaintes du Tribunal pénal fédéral BB.2013.165 du 24 janvier 2014 consid. 4.1.3 et BB.2013.127 du 4 décembre 2013 consid. 4.2), pour autant qu'elle n'ait pas nécessité de développements importants. Le travail consistant en des recherches juridiques, sauf questions particulièrement pointues, n'est pas indemnisé, l'État ne devant pas assumer la charge financière de la formation de l'avocat stagiaire, laquelle incombe à son maître de stage, ou la formation continue de l'avocat breveté ( AARP/331/2015 du 27 juillet 2015 ; AARP/325/2015 du 20 juillet 2015 ; AARP/300/2015 du 16 juillet 2015).</w:t>
      </w:r>
    </w:p>
    <w:p>
      <w:r>
        <w:rPr>
          <w:b/>
        </w:rPr>
        <w:t>E. 6.3</w:t>
      </w:r>
    </w:p>
    <w:p>
      <w:r>
        <w:t>En l'espèce, conformément aux principes qui précèdent, il convient d'écarter de l'état de frais du conseil juridique gratuit de l'intimée les trois heures consacrées à des recherches juridiques, l'État n'ayant pas à assumer la charge de la formation de l'avocat. Cette déduction effectuée, l'activité déployée en appel par la défense des intérêts de l'intimée couverte par l'assistance juridique sera donc arrêtée à trois heures au tarif collaborateur. Il convient d'y ajouter l'indemnisation forfaire de 10% vu l'ensemble de l'activité déployée au cours de la procédure. Il en résulte que l'indemnisation requise sera accordée à hauteur de CHF 412.50, étant précisé qu'il n'y a pas lieu à couverture de la TVA, vu le statut de collaboratrice de M e M______.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