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P/5254/2024 vom 4. Februar 2025</w:t>
      </w:r>
    </w:p>
    <w:p>
      <w:r>
        <w:t>GE Cour de justice, 2025-02-04, FR</w:t>
      </w:r>
    </w:p>
    <w:p>
      <w:r>
        <w:rPr>
          <w:b/>
        </w:rPr>
        <w:t xml:space="preserve">Quelle: </w:t>
      </w:r>
      <w:r>
        <w:t>https://mcp.opencaselaw.ch/entscheid/ge_gerichte_P_5254_2024</w:t>
      </w:r>
    </w:p>
    <w:p>
      <w:r>
        <w:t>FR: GE_GERICHTE P/5254/2024 du 4 février 2025</w:t>
      </w:r>
    </w:p>
    <w:p>
      <w:r>
        <w:t>IT: GE_GERICHTE P/5254/2024 del 4 febbraio 2025</w:t>
      </w:r>
    </w:p>
    <w:p>
      <w:pPr>
        <w:pStyle w:val="Heading2"/>
      </w:pPr>
      <w:r>
        <w:t>Regeste</w:t>
      </w:r>
    </w:p>
    <w:p>
      <w:r>
        <w:t>DROIT D'ÊTRE ENTENDU;AVOCAT;CONFLIT D'INTÉRÊTS;INDÉPENDANCE DE L'AVOCAT;CHOIX DE L'AVOCAT | Cst; CPP.127; LLCA.12</w:t>
      </w:r>
    </w:p>
    <w:p>
      <w:pPr>
        <w:pStyle w:val="Heading2"/>
      </w:pPr>
      <w:r>
        <w:t>Erwägungen</w:t>
      </w:r>
    </w:p>
    <w:p>
      <w:r>
        <w:rPr>
          <w:b/>
        </w:rPr>
        <w:t>E. 1</w:t>
      </w:r>
    </w:p>
    <w:p>
      <w:r>
        <w:t>Interjetés contre la même ordonnance et au vu de leur connexité évidente, les deux recours seront joints et traités en un seul arrêt.</w:t>
      </w:r>
    </w:p>
    <w:p>
      <w:r>
        <w:rPr>
          <w:b/>
        </w:rPr>
        <w:t>E. 2</w:t>
      </w:r>
    </w:p>
    <w:p>
      <w:r>
        <w:t>Les recours sont recevables pour avoir été déposés selon la forme et dans le délai prescrits (art. 385 al. 1 et 396 al. 1 CPP), concerner une ordonnance sujette à recours auprès de la Chambre de céans (art. 393 al. 1 let. a CPP) et émaner de la prévenue, partie à la procédure (art. 104 al. 1 let. a CPP), d'une part, et du conseil de la prévenue, évincé de celle-ci par suite du prononcé de l'ordonnance litigieuse, d'autre part, qui ont tous deux qualité pour agir, ayant un intérêt juridiquement protégé à la modification ou à l'annulation de la décision querellée (art. 382 al. 1 CPP). Cependant, les conclusions des recourants tendant à ce que le Ministère public soit obligé à remettre son dossier pénal à B______ pour consultation dépasse le cadre du présent recours, lequel se limite à la contestation de l'ordonnance d'interdiction de postuler. Faute d'avoir fait l'objet d'une décision préalable du Ministère public, cette problématique est exorbitante à la saisine de la Chambre de céans, de sorte que les conclusions y relatives doivent être déclarées irrecevables (art. 393 al. 1 let. a CPP).</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Les recourants se plaignent d'une violation de leur droit d'être entendu, de même que d'une atteinte à leur dignité humaine, au motif que le Ministère public ne leur aurait pas donné l'occasion de s'exprimer préalablement au prononcé de l'ordonnance litigieuse.</w:t>
      </w:r>
    </w:p>
    <w:p>
      <w:r>
        <w:rPr>
          <w:b/>
        </w:rPr>
        <w:t>E. 4.1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140 I 285 consid. 6.3.1). 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p. 226; arrêt du Tribunal fédéral 6B_1135/2021 du 9 mai 2022 consid. 1.1).</w:t>
      </w:r>
    </w:p>
    <w:p>
      <w:r>
        <w:rPr>
          <w:b/>
        </w:rPr>
        <w:t>E. 4.2</w:t>
      </w:r>
    </w:p>
    <w:p>
      <w:r>
        <w:t>Conformément à l'art. 3 al. 1 CPP, les autorités pénales respectent la dignité des personnes impliquées dans la procédure, à tous les stades de celle-ci.</w:t>
      </w:r>
    </w:p>
    <w:p>
      <w:r>
        <w:rPr>
          <w:b/>
        </w:rPr>
        <w:t>E. 4.3</w:t>
      </w:r>
    </w:p>
    <w:p>
      <w:r>
        <w:t>En l'espèce, les recourants ont été en mesure de critiquer, sur près de sept pages, respectivement neuf pages, l'ordonnance querellée, faisant valoir une multitude de griefs à son encontre. En toute hypothèse, il faudrait considérer qu'une éventuelle violation de leur droit d'être entendu aurait été ainsi réparée dans le cadre du présent recours et ne saurait ainsi justifier une annulation de la décision querellée pour ce motif, laquelle ne constituerait qu'une vaine formalité au sens de la jurisprudence précitée, ce d'autant que la Chambre de céans jouit d'un plein pouvoir de cognition en droit et en fait (art. 393 al. 2 CPP; ATF 137 I 195 consid. 2.3.2; arrêt du Tribunal fédéral 1B_524/2012 du 15 novembre 2012 consid. 2.1.). Par conséquent, les griefs de la violation du droit d'être entendu et d'une atteinte à la dignité humaine seront rejetés.</w:t>
      </w:r>
    </w:p>
    <w:p>
      <w:r>
        <w:rPr>
          <w:b/>
        </w:rPr>
        <w:t>E. 5</w:t>
      </w:r>
    </w:p>
    <w:p>
      <w:r>
        <w:t>Les recourants déplorent une constatation manifestement erronée des faits, lesquels auraient été établis de manière arbitraire et contraire aux règles de la bonne foi. Dès lors que la Chambre de céans jouit d'un plein pouvoir de cognition en droit et en fait, tel que relevé supra (consid. 3.2), les éventuelles constatations incomplètes ou inexactes du Ministère public auront été corrigées dans l'état de fait établi ci-devant. Ce grief sera donc également rejeté.</w:t>
      </w:r>
    </w:p>
    <w:p>
      <w:r>
        <w:rPr>
          <w:b/>
        </w:rPr>
        <w:t>E. 6</w:t>
      </w:r>
    </w:p>
    <w:p>
      <w:r>
        <w:t>Les recourants soutiennent que les conditions d'une interdiction de postuler ne sont pas réalisées, l'ordonnance querellée consacrant par ailleurs, de l'avis de Me A______, une violation de sa liberté économique et nuisant à son obligation d'assistance à l'égard de son épouse.</w:t>
      </w:r>
    </w:p>
    <w:p>
      <w:r>
        <w:rPr>
          <w:b/>
        </w:rPr>
        <w:t>E. 6.1</w:t>
      </w:r>
    </w:p>
    <w:p>
      <w:r>
        <w:t>Les parties à une procédure pénale peuvent librement choisir un conseil juridique pour défendre leurs intérêts; la législation sur les avocats est toutefois réservée (art. 127 al. 1 et 4 CPP). L'art. 12 LLCA énonce les règles professionnelles auxquelles l'avocat est soumis. Selon l'art. 12 let. a LLCA, il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(ATF 144 II 473 consid. 4.1). L'art. 12 let. b LLCA prévoit notamment que l'avocat exerce son activité professionnelle en toute indépendance. L'indépendance est un principe essentiel de la profession d'avocat et doit être garantie tant à l'égard du juge et des parties, que du client (ATF 145 II 229 consid. 6.1 ; arrêts du Tribunal fédéral 2C_889/2008 du 21 juillet 2009 consid. 3.1.2 ; 2A.293/2003 du 9 mars 2004 consid. 2).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(arrêt du Tribunal fédéral 1B_191/2020 du 26 août 2020 consid. 4.1.2 et les réf. citées). Quant à l'art. 12 let. c LLCA, il prescrit à l'avocat d'éviter tout conflit entre les intérêts de son client et ceux des personnes avec lesquelles il est en relation sur le plan professionnel ou privé. Même si cela ne ressort pas explicitement du texte légal, l'art. 12 let. c LLCA impose aussi d'éviter les conflits entre les propres intérêts de l'avocat et ceux de ses clients (arrêt du Tribunal fédéral 1B_191/2020 du 26 août 2020 précité consid. 4.1.2). Un avocat ne doit donc pas accepter un mandat, respectivement s'en dessaisir, quand les intérêts du client entrent en collision avec ses propres intérêts (arrêts du Tribunal fédéral 5A_124/2022 du 26 avril 2022 consid. 4.1.1 ; 1B_191/2020 du 26 août 2020 précité consid. 4.1.2). L'interdiction de plaider en cas de conflit d'intérêts se trouve en lien avec la clause générale de l'art. 12 let. a LLCA précité, selon laquelle l'avocat exerce sa profession avec soin et diligence, de même qu'avec l'obligation d'indépendance rappelée à l'art. 12 let. b LLCA (ATF 145 IV 218 consid. 2.1 ; arrêts du Tribunal fédéral 1B_476/2022 du 6 décembre 2022 consid. 2.2.1 ; 1B_191/2020 du 26 août 2020 précité consid. 4.1.2).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consid. 2.1 ; arrêts du Tribunal fédéral 6B_993/2022 du 18 mars 2024 consid. 2.2.1 et 1B_476/2022 du 6 décembre 2022 consid. 2.2.1 et les références citées). Dès que le conflit d'intérêts survient, l'avocat doit mettre fin à la représentation (ATF 145 IV 218 consid. 2.1 et les arrêts cités ; arrêt du Tribunal fédéral 6B_993/2022 du 18 mars 2024 consid. 2.2.1). Le Tribunal fédéral a souvent rappelé que l'avocat avait notamment le devoir d'éviter la double représentation, soit le cas où il serait amené à défendre les intérêts opposés de deux parties à la fois, car il n'est alors plus en mesure de respecter son obligation de fidélité et son devoir de diligence envers chacun de ses clients (ATF 145 IV 218 consid. 2.1). Pour autant qu'ils poursuivent des intérêts communs, des mandants peuvent être représentés par le même avocat dans la mesure où un risque élevé de conflit concret puisse être écarté d'emblée de cause compte tenu de la nature ou de l'objet du litige (M. VALTICOS / C. REISER / B. CHAPPUIS [éds], Commentaire romand, Loi fédérale sur la libre circulation des avocats, 2 ème édition, Bâle, 2022, n. 159 ad art. 12 et les références citées). En matière pénale, même si l'existence d'un conflit concret n'apparaît pas d'emblée en cas de défense de coaccusés présentant une version identique, ceux-ci sont toutefois susceptibles d'évoluer dans leurs déclarations au gré de la procédure afin de se rejeter mutuellement leur responsabilité ou tenter de la minimiser (arrêts du Tribunal fédéral 1B_582/2019 du 20 mars 2020 consid. 5.2 et 1B_602/2019 du 5 février 2020 consid. 2.2). Une telle défense commune de coaccusés, voire de co-plaignants, pose ainsi des risques de conflits accrus dès lors que l'évolution de la procédure est par nature incertaine (arrêts du Tribunal fédéral 1B_358/2014 du 12 décembre 2014 consid 3.2 et 1B_360/2014 du 24 mars 2014). En aucune mesure, l'avocat ne doit se laisser influencer par ses intérêts personnels et ne saurait accepter un mandat dans lequel il pourrait se trouver impliqué à titre personnel ou voir ses propres intérêts potentiellement en jeu, auquel cas il convient de se montrer particulièrement sévère dans l'appréciation du risque de conflit d'intérêts. Des liens de nature patrimoniale dans la cause qu'il est chargé de défendre, une trop grande proximité avec l'épouse de son client ou la représentation de l'épouse de son associé sont de nature à affecter l'indépendance de l'avocat et à présenter un risque d'intérêts contradictoires, dans la mesure où il demeure directement ou indirectement intéressé à l'issue du litige (M. VALTICOS / C. REISER / B. CHAPPUIS [éds], op. cit. , n. 179 ad art. 12 et les références citées).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(ATF 145 IV 218 consid. 2.1 ; 141 IV 257 consid. 2.1 ; arrêts du Tribunal fédéral 1B_476/2022 du 6 décembre 2022 consid. 2.2.1 ; 5A_124/2022 du 26 avril 2022 précité consid. 4.1.1 ; 1B_191/2020 du 26 août 2020 précité consid. 4.1.2).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147 III 351 consid. 6.1.3 ; ATF 138 II 162 consid. 2.5.1 ; arrêt du Tribunal fédéral 7B_215/2024 du 6 mai 2024 consid. 2.1.1 et 2.1.2).</w:t>
      </w:r>
    </w:p>
    <w:p>
      <w:r>
        <w:rPr>
          <w:b/>
        </w:rPr>
        <w:t>E. 6.2</w:t>
      </w:r>
    </w:p>
    <w:p>
      <w:r>
        <w:t>Selon l'art. 159 al. 3 CC, les époux se doivent l'un à l'autre fidélité et assistance.</w:t>
      </w:r>
    </w:p>
    <w:p>
      <w:r>
        <w:rPr>
          <w:b/>
        </w:rPr>
        <w:t>E. 6.3</w:t>
      </w:r>
    </w:p>
    <w:p>
      <w:r>
        <w:t>Conformément à l'art. 27 Cst., la liberté économique est garantie (al. 1). Elle comprend notamment le libre choix de la profession, le libre accès à une activité économique lucrative privée et son libre exercice (al. 2).</w:t>
      </w:r>
    </w:p>
    <w:p>
      <w:r>
        <w:rPr>
          <w:b/>
        </w:rPr>
        <w:t>E. 6.4</w:t>
      </w:r>
    </w:p>
    <w:p>
      <w:r>
        <w:t>Aux termes de l'art. 36 Cst., les droits fondamentaux peuvent être limités, si la restriction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ATF 137 I 167 consid. 3.6; 136 I 197 consid. 4.4.4; 134 I 214 consid. 5.4).</w:t>
      </w:r>
    </w:p>
    <w:p>
      <w:r>
        <w:rPr>
          <w:b/>
        </w:rPr>
        <w:t>E. 6.5</w:t>
      </w:r>
    </w:p>
    <w:p>
      <w:r>
        <w:t>En l'espèce, les recourants contestent l'existence d'un conflit d'intérêts au motif que A______ aurait cédé à B______ – son épouse – tous ses droits à l'égard de C______ et ne serait ainsi en rien impliqué dans les faits que lui reproche le Ministère public. Certes, A______ n'a pas été entendu à ce jour dans le cadre de la présente procédure, seule B______ l'ayant été, en qualité de prévenue, lors de l'enquête de la police. Il est vrai également qu'avant que cette dernière n'interpellât leur précédent conseil sur son souhait d'être réglée en six versements séparés et, partant, que les commandements de payer litigieux ne fussent notifiés à celui-ci, A______ avait déjà cédé à son épouse les prétentions qu'il détenait à l'égard de C______. Cela ne signifie pas encore pour autant que le Ministère public ne pourrait pas être amené à devoir entendre, à un moment ou un à autre dans le cadre de la procédure, A______, que ce soit en qualité de témoin, de personne appelée à donner des renseignements ou encore de prévenu, étant à cet égard précisé que l'enquête n'en est qu'à ses balbutiements et que le Ministère public a indiqué devoir instruire tant le rôle de B______ que celui de A______. On peut aisément imaginer que, dans le cadre de son instruction, le Ministère public clarifiera les circonstances dans lesquelles A______ a été amené à céder ses prétentions à son épouse ou encore le rôle qu'il a pu jouer dans les démarches entreprises ultérieurement par celle-ci. Il n'est à cet égard pas exclu que cette autorité décide de les confronter. Dans ce contexte, le fait que A______ en son statut d'avocat continue à assister B______ pourrait s'avérer problématique à plusieurs égards, cela indépendamment de la qualité en laquelle il serait entendu. En effet, s'il devait être entendu en qualité de témoin ou de personne appelée à donner des renseignements, il ne serait pas opportun qu'il ait au préalable pu avoir accès au dossier par l'entremise de sa mandante. Il en irait de même dans l'hypothèse où le Ministère public déciderait ultérieurement de l'auditionner en qualité de prévenu, ou de le confronter à son épouse, étant alors précisé qu'en pareil cas, outre le fait qu'il aurait pu consulter des pièces auxquelles il n'aurait potentiellement pas dû avoir accès sur la base de l'art. 101 CPP, il pourrait également être tenté de privilégier ses intérêts au détriment de ceux de B______, voire de rejeter la responsabilité sur elle. S'ajoute à ces éléments, à eux seuls déjà problématiques, le fait que A______ est l'époux de B______ et qu'il pourrait ainsi ne pas avoir le recul nécessaire pour assurer adéquatement la défense de ses intérêts. Dès lors que ces divers éléments pourraient conduire à des divergences entre les intérêts des époux A______/B______, c'est à bon droit que le Ministère public a considéré que A______ ne devait pas être autorisé à représenter B______ dans le cadre de la présente procédure. Contrairement à ce que soutiennent les recourants, une telle décision ne consacre en rien une violation de leurs droits d'être entendus et traités équitablement, pas plus qu'elle ne constitue une violation de la liberté économique de A______, dès lors qu'elle repose sur une loi au sens formel du terme – soit en l'occurrence l'art. 12 LLCA –, est justifiée par des intérêts public et privé prépondérants – soit l'intérêt à la bonne marche de l'instruction et celui de B______ à être défendue par un avocat exempt de tout conflit d'intérêts – et respecte le principe de la proportionnalité, aucune autre mesure susceptible d'atteindre le même but n'étant envisageable in casu . Pour les mêmes motifs, on ne saurait donner raison à A______ lorsqu'il prétend que le Ministère public aurait nui à son obligation d'assistance à l'égard de son épouse. Les recourants ne sauraient enfin tirer argument du fait que le Ministère public n'aurait pas initié de poursuites à l'encontre de C______, de tels faits ne faisant pas l'objet de la présente procédure.</w:t>
      </w:r>
    </w:p>
    <w:p>
      <w:r>
        <w:rPr>
          <w:b/>
        </w:rPr>
        <w:t>E. 7</w:t>
      </w:r>
    </w:p>
    <w:p>
      <w:r>
        <w:t>Justifiée, l'ordonnance querellée sera donc confirmée et, partant, les recours rejetés.</w:t>
      </w:r>
    </w:p>
    <w:p>
      <w:r>
        <w:rPr>
          <w:b/>
        </w:rPr>
        <w:t>E. 8</w:t>
      </w:r>
    </w:p>
    <w:p>
      <w:r>
        <w:t>Les recourants, qui succombent, supporteront les frais envers l'État, arrêtés à CHF 1'600.-, soit CHF 800.- chacun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