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P/522/2016 vom 21. Februar 2017</w:t>
      </w:r>
    </w:p>
    <w:p>
      <w:r>
        <w:t>GE Cour de justice, 2017-02-21, FR</w:t>
      </w:r>
    </w:p>
    <w:p>
      <w:r>
        <w:rPr>
          <w:b/>
        </w:rPr>
        <w:t xml:space="preserve">Quelle: </w:t>
      </w:r>
      <w:r>
        <w:t>https://mcp.opencaselaw.ch/entscheid/ge_gerichte_P_522_2016</w:t>
      </w:r>
    </w:p>
    <w:p>
      <w:r>
        <w:t>FR: GE_GERICHTE P/522/2016 du 21 février 2017</w:t>
      </w:r>
    </w:p>
    <w:p>
      <w:r>
        <w:t>IT: GE_GERICHTE P/522/2016 del 21 febbraio 2017</w:t>
      </w:r>
    </w:p>
    <w:p>
      <w:pPr>
        <w:pStyle w:val="Heading2"/>
      </w:pPr>
      <w:r>
        <w:t>Regeste</w:t>
      </w:r>
    </w:p>
    <w:p>
      <w:r>
        <w:t>IN DUBIO PRO REO; COMMERCE DE STUPÉFIANTS; FIXATION DE LA PEINE ; DROIT DE GARDER LE SILENCE ; ÉGALITÉ DE TRAITEMENT | LStup.19.2 cp.47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ne conteste pas le résumé des transcriptions des écoutes téléphoniques les plus édifiantes, telles que classées par thèmes, effectué par les premiers juges, ni l'identité des intervenants. Il admet aussi la lecture du Tribunal correctionnel sur le sens qu'il convient de donner à ces échanges. A juste titre dès lors que les échanges sont clairs et correspondent aux observations policières. Les condamnations des autres membres du réseau sont aussi des éléments à charge. Il découle bien de ces éléments que l'intéressé a géré un "plan" durant la période des écoutes, se fournissant principalement auprès de C______, collaborant avec d'autres trafiquants, se rendant sur place principalement de nuit pour participer aux opérations de stockage et de mélange de la drogue et instruisant, durant la journée, les exécutants surnommés "D______" et "E______" , soit vraisemblablement son propre frère, afin notamment qu'ils se rendent au contact des clients toxicomanes, dont il prenait la commande. A ce stade, l'appelant minimise simplement son rôle, affirmant n'avoir été qu'un gérant apparent, agissant pour le compte d'un tiers qui l'aurait manipulé. Cette version n'est à l'évidence pas crédible. D'une part, elle n'a été ébauchée qu'en fin d'instruction préliminaire, après que l'intéressé eût multiplié les explications farfelues, pour n'être qu'à peine plus élaborée devant les premiers juges et enfin plus clairement articulée uniquement devant la Cour de céans. D'autre part, l'appelant est bien en peine de donner la moindre indication sur l'identité de ce tiers mystérieux et l'explication selon laquelle il aurait été induit à rendre service à un homme démuni de téléphone prête à sourire, vu la durée et l'intensité de l'activité. Enfin, et surtout, on voit bien que les conversations téléphoniques sont suivies et fluides. L'appelant n'est jamais embarrassé pour répondre à ses interlocuteurs, et n'a aucun besoin de s'interrompre pour rentre compte de ce qui se dit au prétendu tiers et recueillir ses instructions avant de les répercuter. En conclusion, il est établi que l'activité de l'appelant, telle que retenue par les premiers juges, a bien été déployée par celui-ci pour son propre compte, en toute liberté. L'appel est de ce fait rejeté en ce qui concerne le degré d'implication de l'appelant.</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3</w:t>
      </w:r>
    </w:p>
    <w:p>
      <w:r>
        <w:t>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3.1.5.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123 IV 150 consid. 2a p. 152 s. ; arrêts du Tribunal fédéral 6B_794/2015 du 15 août 2016 consid. 1.1 et 6B_334/2009 du 20 juillet 2009 consid. 2.3.1).</w:t>
      </w:r>
    </w:p>
    <w:p>
      <w:r>
        <w:rPr>
          <w:b/>
        </w:rPr>
        <w:t>E. 3.2</w:t>
      </w:r>
    </w:p>
    <w:p>
      <w:r>
        <w:t>La faute de l'appelant est grave. A peine relâché, alors qu'il n'avait pas encore purgé l'entier de la peine, pour une précédente infraction spécifique, même si de gravité nettement moindre, il a intégré un réseau bien établi œuvrant autour du Foyer pour réfugiés des Tattes, s'y faisant avec une déconcertante facilité une place comparable, dans un modèle d'économie licite, à celle d'un indépendant, d'un petit patron. Il mettait la main à la tâche s'agissant de recevoir et préparer sa marchandise, collaborant parfois avec d'autres "confrères" , à des moments supposés moins risqués. Il se tenait en revanche en retrait lorsqu'il s'agissait de livrer les clients toxicomanes, auxquels il envoyait ses "ouvriers" , nantis d'instructions précises, y compris sur le prix à pratiquer, cette partie du commerce étant notoirement plus exposée, du fait de sa visibilité pour des policiers en observation ou du risque que le client ne soit suivi - hypothèse évoquée le 22 octobre 2014 - voir un informateur ou un agent infiltré. La période pénale n'est pas très longue, mais comme souligné par le MP, l'activité a été intense, les occurrences multiples ; en outre la quantité en cause de plus de 1.5 kg est importante. Le mobile est exclusivement celui de l'appât d'un gain rapide, au mépris de la santé des toxicomanes, mépris auquel s'ajoute le dédain pour la justice et les forces de l'ordre, vu la récidive aussitôt après la condamnation qui venait d'être prononcée. L'appelant n'a d'aucune façon collaboré, enchaînant les déclarations farfelues et niant l'évidence, pour ne concéder, du bout des lèvres, qu'une implication très minimisée. Il n'y a ainsi pas même une ébauche de prise de conscience. A le croire, la situation personnelle de l'appelant n'était pas mauvaise, ce qui rend son comportement d'autant moins compréhensible. Le fait qu'il se comporte bien en prison et y travaille n'est pas de nature à justifier une mitigation, même légère, de la peine, s'agissant du minimum qu'on puisse attendre de lui. Au regard de ces critères, une peine privative de liberté de trois ans et six mois est adéquate. Elle n'est en particulier pas excessivement sévère, comme le soutient l'appelant. Il n'y a par ailleurs pas de motif de prononcer une peine plus légère par souci d'égalité de traitement. Le détail du raisonnement qui a conduit le Tribunal correctionnel à infliger à W______ une peine privative de liberté de trois ans n'est pas connu. Il reste que l'acte d'accusation retient une activité comparable à celle de l'appelant, avec cependant une quantité de drogue inférieure. Cette seule différence pourrait expliquer, déjà, la quotité moindre de la peine de cet autre trafiquant. Au demeurant, l'écart entre les deux peines n'est pas significatif et l'antécédent de W______ était moins récent que celui, immédiat, de l'appelant. L'appel est rejeté en ce qui concerne la peine également.</w:t>
      </w:r>
    </w:p>
    <w:p>
      <w:r>
        <w:rPr>
          <w:b/>
        </w:rPr>
        <w:t>E. 4</w:t>
      </w:r>
    </w:p>
    <w:p>
      <w:r>
        <w:t>L'appelant, qui succombe, supportera les frais de la procédure envers l'Etat (art. 428 CPP), lesquels comprennent un émolument de CHF 1'500.- (art. 14 al. 1 let. e du règlement fixant le tarif des frais en matière pénale, du 22 décembre 2010 [RTFMP ; RS-GE E 4 10.03]).</w:t>
      </w:r>
    </w:p>
    <w:p>
      <w:r>
        <w:rPr>
          <w:b/>
        </w:rPr>
        <w:t>E. 5</w:t>
      </w:r>
    </w:p>
    <w:p>
      <w:r>
        <w:t>Conformément aux principes régissant la matière, il convient d'allouer à l'avocate d'office de l'appelant une indemnité de CHF 474.80 pour l'activité est les frais encourus en deuxième instance (une vacation au tarif réservé aux avocats-stagiaires [CHF 65.-] ; une heure d'assistance à l'audience [CHF 200.-] ; le forfait pour les activités diverses au taux de 10% [CHF 26.50], la TVA au taux de 8% [CHF 23.30] et les débours d'interprète par CHF 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