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P/5212/2024 vom 30. Mai 2024</w:t>
      </w:r>
    </w:p>
    <w:p>
      <w:r>
        <w:t>GE Cour de justice, 2024-05-30, FR</w:t>
      </w:r>
    </w:p>
    <w:p>
      <w:r>
        <w:rPr>
          <w:b/>
        </w:rPr>
        <w:t xml:space="preserve">Quelle: </w:t>
      </w:r>
      <w:r>
        <w:t>https://mcp.opencaselaw.ch/entscheid/ge_gerichte_P_5212_2024</w:t>
      </w:r>
    </w:p>
    <w:p>
      <w:r>
        <w:t>FR: GE_GERICHTE P/5212/2024 du 30 mai 2024</w:t>
      </w:r>
    </w:p>
    <w:p>
      <w:r>
        <w:t>IT: GE_GERICHTE P/5212/2024 del 30 maggio 2024</w:t>
      </w:r>
    </w:p>
    <w:p>
      <w:pPr>
        <w:pStyle w:val="Heading2"/>
      </w:pPr>
      <w:r>
        <w:t>Regeste</w:t>
      </w:r>
    </w:p>
    <w:p>
      <w:r>
        <w:t>DÉTENTION PROVISOIRE;MESURE DE SUBSTITUTION À LA DÉTENTION;EXÉCUTION DES PEINES ET DES MESURES | CPP.221; CPP.137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En l'espèce, le recourant ne conteste pas la suffisance des charges à son encontre ni les risques de fuite et de réitération retenus par le TMC. Il ne s'oppose pas non plus à l'exécution d'écrous [171 jours de peines privatives de liberté] à titre de mesure de substitution ni à son placement en détention provisoire ou de sûreté pour une durée de 1 mois si l'exécution desdites peines devait prendre fin avant l'issue de la présente procédure – ce qu'il avait au demeurant lui-même sollicité –. Il n'y a donc pas lieu d'y revenir et il peut être renvoyé, en tant que de besoin, à la motivation adoptée par le premier juge sur ce point (art. 82 al.4 CPP; ACPR/747/2020 du 22 octobre 2020 consid. 2 et les références). On ne peut toutefois suivre le TMC lorsqu'il estime que l'exécution des peines privatives de liberté doit s'effectuer sous le régime de la détention provisoire pour prévenir un risque de collusion, non retenu par l'ordonnance querellée. En effet, l'instruction apparait terminée, sous réserve de l'expertise psychiatrique sollicitée par le prévenu lui-même. En outre, les charges, établies par les éléments au dossier, sont admises pour l'essentiel. On ne voit dès lors pas qu'il existe un risque de collusion concret qui permettrait de refuser le régime ordinaire de l'exécution de peine, lequel est suffisant pour pallier les risques de fuite et réitération. Partant, il y a lieu d'admettre que l'exécution des peines privatives de liberté de 171 jours constitue une mesure de substitution adéquate pour les risques retenus. Le chiffre 2 de l'ordonnance attaquée sera annulé, étant relevé que, si, dans l'exécution de peine, le prévenu devait prétendre à des congés, sortie ou travail externe, ses demandes d'élargissement seraient traitées par la Direction de la procédure (arrêt du Tribunal fédéral 1B_122/2022 du 20 avril 2022 consid. 3.5). La conclusion du recourant relative au chiffre 3 du dispositif du jugement sera rejetée, les éventuels élargissements susvisés étant traités comme exposés ci-dessus.</w:t>
      </w:r>
    </w:p>
    <w:p>
      <w:r>
        <w:rPr>
          <w:b/>
        </w:rPr>
        <w:t>E. 3</w:t>
      </w:r>
    </w:p>
    <w:p>
      <w:r>
        <w:t>Le recours, qui s'avère fondé, sera ainsi admis.</w:t>
      </w:r>
    </w:p>
    <w:p>
      <w:r>
        <w:rPr>
          <w:b/>
        </w:rPr>
        <w:t>E. 4</w:t>
      </w:r>
    </w:p>
    <w:p>
      <w:r>
        <w:t>Son admission ne donne pas lieu à la perception de frais (art. 428 al. 1 CPP).</w:t>
      </w:r>
    </w:p>
    <w:p>
      <w:r>
        <w:rPr>
          <w:b/>
        </w:rPr>
        <w:t>E. 5</w:t>
      </w:r>
    </w:p>
    <w:p>
      <w:r>
        <w:t>Il n'y a pas lieu d'indemniser à ce stade le défenseur d'office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