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P/5211/2016 vom 12. Oktober 2017</w:t>
      </w:r>
    </w:p>
    <w:p>
      <w:r>
        <w:t>GE Cour de justice, 2017-10-12, FR</w:t>
      </w:r>
    </w:p>
    <w:p>
      <w:r>
        <w:rPr>
          <w:b/>
        </w:rPr>
        <w:t xml:space="preserve">Quelle: </w:t>
      </w:r>
      <w:r>
        <w:t>https://mcp.opencaselaw.ch/entscheid/ge_gerichte_P_5211_2016</w:t>
      </w:r>
    </w:p>
    <w:p>
      <w:r>
        <w:t>FR: GE_GERICHTE P/5211/2016 du 12 octobre 2017</w:t>
      </w:r>
    </w:p>
    <w:p>
      <w:r>
        <w:t>IT: GE_GERICHTE P/5211/2016 del 12 ottobre 2017</w:t>
      </w:r>
    </w:p>
    <w:p>
      <w:pPr>
        <w:pStyle w:val="Heading2"/>
      </w:pPr>
      <w:r>
        <w:t>Regeste</w:t>
      </w:r>
    </w:p>
    <w:p>
      <w:r>
        <w:t>LÉSION CORPORELLE SIMPLE ; MENACE(DROIT PÉNAL) ; CONDAMNATION ; VIOLATION DU DEVOIR D'ASSISTANCE OU D'ÉDUCATION ; ACQUITTEMENT ; FIXATION DE LA PEINE ; CONCOURS D'INFRACTIONS ; PEINE COMPLÉMENTAIRE ; IMPUTATION ; CONFISCATION(DROIT PÉNAL) ; RESTITUTION(EN GÉNÉRAL) ; DÉFENSE D'OFFICE | CP.123; CP.180; CP.219; CP.47; CP.49.al1; CP.49.al2; CP.51; CP.69; CPP.135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mesures qui ont été ordonnées (let. c) ; les frais, les indemnités et la réparation du tort moral (let. f). La Chambre limite son examen aux violations décrites dans l'acte d'appel (art. 404 al. 1 CPP), sauf en cas de décisions illégales ou inéquitables (art. 404 al. 2 CPP).</w:t>
      </w:r>
    </w:p>
    <w:p>
      <w:r>
        <w:rPr>
          <w:b/>
        </w:rPr>
        <w:t>E. 2</w:t>
      </w:r>
    </w:p>
    <w:p>
      <w:r>
        <w:t>2.1. L'art. 6 par. 3 let. d de la Convention de sauvegarde des droits de l'homme et des libertés fondamentales du 4 novembre 1950 (CEDH - RS 0.101)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pp. 480 s. ; arrêt 6B_1023/2016 du 30 mars 2017 consid. 1.2.3).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p. 49 ; arrêts du Tribunal fédéral 6B_542/2016 du 5 mai 2017 consid.</w:t>
      </w:r>
    </w:p>
    <w:p>
      <w:r>
        <w:rPr>
          <w:b/>
        </w:rPr>
        <w:t>E. 2.2</w:t>
      </w:r>
    </w:p>
    <w:p>
      <w:r>
        <w:t>En l'espèce, l'appelant n'a pas maintenu devant la juridiction d'appel sa demande tendant à l'audition de sa fille, de sorte qu'il est considéré y avoir valablement renoncé, après avoir pris connaissance de la décision de la direction de la procédure et aussi de la position de l'enfant, qui avait fait savoir, par l'entremise de son curateur, qu'elle ne souhaitait pas être confrontée à son père devant un tribunal. Une telle confrontation ne s'imposait du reste pas, au vu des autres déclarations qui figurent au dossier.</w:t>
      </w:r>
    </w:p>
    <w:p>
      <w:r>
        <w:rPr>
          <w:b/>
        </w:rPr>
        <w:t>E. 2.3</w:t>
      </w:r>
    </w:p>
    <w:p>
      <w:r>
        <w:t>et 6B_625/2015 du 28 octobre 2015 consid. 2.1 et les références citées).</w:t>
      </w:r>
    </w:p>
    <w:p>
      <w:r>
        <w:rPr>
          <w:b/>
        </w:rPr>
        <w:t>E. 3.1</w:t>
      </w:r>
    </w:p>
    <w:p>
      <w:r>
        <w:t>Le principe in dubio pro reo , qui découle de la présomption d'innocence, garantie par l'article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arrêts cités).</w:t>
      </w:r>
    </w:p>
    <w:p>
      <w:r>
        <w:rPr>
          <w:b/>
        </w:rPr>
        <w:t>E. 3.2</w:t>
      </w:r>
    </w:p>
    <w:p>
      <w:r>
        <w:t>D'après la jurisprudence, le juge du fait dispose d'un large pouvoir dans l'appréciation des preuves (ATF 120 Ia 31 consid. 4b p. 40). Dans le cadre du principe de libre appréciation des preuves, lorsqu'il est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3.3.1.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et 6B_820/2011 du 5 mars 2012 consid. 3). 3.3.2. Par ailleurs, lorsque la victime est menacée de l'accomplissement d'une infraction, par exemple de lésions corporelles, puis que cette infraction est également réalisée, il y a concours imparfait. L'art. 180 CP n'est pas applicable, lorsque la menace et l'autre infraction ont été commise à un intervalle suffisamment court pour que l'on puisse considérer qu'il s'agit d'une seule action. C'est notamment le cas lorsque l'auteur menace la victime avec un couteau et en fait usage peu après (M. DUPUIS / L. MOREILLON / C. PIGUET / S. BERGER / M. MAZOU / V. RODIGARI [éds], Code pénal - Petit commentaire , Bâle 2017, N. 28 ad art. 180 CP).</w:t>
      </w:r>
    </w:p>
    <w:p>
      <w:r>
        <w:rPr>
          <w:b/>
        </w:rPr>
        <w:t>E. 3.4</w:t>
      </w:r>
    </w:p>
    <w:p>
      <w:r>
        <w:t>En l'espèce, il ressort du récit concordant des parties et des témoins présents, que le soir du 15 janvier 2016 l'appelant s'est emporté contre sa fille, pris par un excès de colère, et l'a notamment frappée avec un câble électrique. Avec le premier juge, la CPAR considère que les déclarations de C______ recueillies selon les protocoles en vigueur, sont crédibles, celle-ci ayant décrit les faits de manière spontanée et libre, avec des mots d'une enfant de son âge. Elle a aussi exprimé ses propres réactions et émotions, y compris celles négatives, précisant qu'elle avait par exemple claqué la porte à son père ou qu'elle avait fait semblant de ne pas l'écouter, pour ne pas se soumettre à l'ordre de se lever. Un tel comportement est d'ailleurs cohérent pour une enfant de 13 ans, à l'orée de l'adolescence. Le récit de la partie plaignante concernant le déroulement général de la soirée, les motifs de la dispute avec son père (le fait qu'elle continuait à fréquenter l'ex petit ami de sa mère), sa volonté de lui tenir tête, la réaction de celui-ci, est en outre corroboré par les déclarations des frères et de la mère de l'appelant, qui se sont interposés, ainsi que par celles du conseiller social de l'école qui a recueilli les confidences de l'enfant et de la mère de celle-ci, même si le récit de cette dernière, pour mesuré qu'il eût été, est moins probant, compte tenu du conflit qui l'opposait au prévenu. Le fait que les membres de la famille de l'appelant, entendus quelques mois après les faits, n'aient pas rapporté l'intégralité des propos échangés au cours de la dispute, en particulier les menaces de mort, ne signifie pas que celles-ci n'auraient pas été proférées. D'une part, en effet, la question de savoir si l'appelant avait menacé sa fille ne leur a pas été expressément posée. D'autre part, sans forcément vouloir mentir, ils étaient naturellement animés par la volonté de ne pas accabler l'un des leurs, preuve en est que tant la mère que le frère I______ ont beaucoup insisté sur le fait que l'appelant avait regretté sa réaction et présenté ses excuses à sa fille. Enfin, la version du prévenu, selon laquelle il se serait limité à interdire à sa fille de se rendre chez le dénommé H______, n'est pas crédible. En effet, il est patent qu'il était hors de lui et qu'il a perdu le contrôle, au point de frapper sa fille avec un câble. Les menaces rapportées par l'enfant s'inscrivent de manière cohérente dans ce contexte d'agressivité, bien plus que les propos mesurés que l'appelant soutient avoir tenus. Sa propension à la violence - tant physique que verbale - est d'ailleurs corroborée tant par son casier judiciaire que par les conclusions de l'expertise psychiatrique. La CPAR retient ainsi que le soir du 15 janvier 2016, le prévenu a menacé sa fille qu'il allait la fouetter, puis l'a frappée avec un câble électrique, lui a donné une claque et l'a encore menacée de la tuer. Ces actes réalisent tant l'infraction de lésions corporelles simples, retenues par le premier juge et non contestées, que celle de menaces. De tels propos, tenus dans le prolongement d'une agression physique, étaient propres à effrayer et ont d'ailleurs fait peur à l'enfant qui a pleuré, a voulu rentrer chez elle, mais en a été dissuadée par l'une de ses tantes, et n'a pas réussi à dormir avant que son père n'eut quitté la maison. Par conséquent, l'appelant s'est aussi rendu coupable de menaces au sens de l'art. 180 al. 1 CP, lesquelles n'entrent pas en concours imparfait avec les lésions corporelles simples, dès lors qu'il s'est agi de menaces de mort, proférées de surcroît encore après les coups.</w:t>
      </w:r>
    </w:p>
    <w:p>
      <w:r>
        <w:rPr>
          <w:b/>
        </w:rPr>
        <w:t>E. 4</w:t>
      </w:r>
    </w:p>
    <w:p>
      <w:r>
        <w:t>4.1.1. 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Il faut que l'auteur ait eu envers une personne mineure un devoir d'assistance ou un devoir d'éducation. Sont notamment des garants les parents naturels, qu'ils vivent ou non avec l'enfant (ATF 125 IV 64 consid. 1a p. 68 s. et les références citées). 4.1.2. Le comportement délictueux peut consister en une action ou en une omission. Dans le premier cas, l'auteur viole positivement son devoir, par exemple en retirant son enfant de l'école sans motif. Dans le second cas, l'auteur manque passivement à son obligation, par exemple en omettant de consulter un médecin alors que l'enfant est sérieusement malade et qu'il a besoin de soins ou d'hygiène (ATF 125 IV 64 consid. 1a p. 69 ; arrêts du Tribunal fédéral 6B_457/2013 du 29 octobre 2013 consid. 1.1.2 ; 6B_539/2010 du 30 mai 2011 consid. 4.2). Il s'agit d'un délit de mise en danger concrète, la violation du devoir d'assistance ou d'éducation ou le manquement à ce devoir doit avoir pour effet de mettre en danger le développement physique ou psychique du mineur. Il n'est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(ATF 126 IV 136 consid. 1b p. 138 ; ATF 125 IV 64 consid. 1a p. 69 ; arrêt du Tribunal fédéral 6S_193/2005 du 16 juillet 2005 consid. 2.1). Pour provoquer un tel résultat, il faut en principe que l'auteur agisse de façon répétée ou viole durablement son devoir (arrêt du Tribunal fédéral 6B_457/2013 du 2013 du 29 octobre 2013 consid. 1.2 et les références ; B. CORBOZ, Les infractions en droit suisse , vol. I, 3 e éd., 2010, n. 17 p. 939). Il n'est cependant pas exclu qu'un seul acte grave suffise pour que des séquelles durables risquent d'affecter le développement du mineur.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Du point de vue subjectif, l'auteur peut avoir agi intentionnellement, auquel cas le dol éventuel suffit (ATF 125 IV 64 consid. 1a p. 70 ; arrêt du Tribunal fédéral 6S.193/2005 consid. 2), ou par négligence (art. 219 al. 2 CP). La gravité de la faute commise est déterminante (ATF 125 IV 64 consid. 2 p. 72). L'intention doit porter sur l'existence du devoir, son contenu, le fait qu'il soit violé et sur la mise en danger du développement de l'enfant (M. DUPUIS / B. GELLER / G. MONNIER / L. MOREILLON / C. PIGUET / C. BETTEX / D. STOLL [éds], Code pénal - Petit commentaire , Bâle 2017, n. 19 ad art. 219). 4.1.3. Dans un arrêt 6B_150/2012 du 14 mai 2012, le Tribunal fédéral a confirmé la condamnation d'une mère qui avait poussé sa fille contre les meubles, lui avait tiré les cheveux, l'avait griffée et menacée de la mettre à la porte, de l'emmener dans un foyer, de lui couper ses habits ou de tuer ses rats. La mère avait également exercé une pression psychologique sur sa fille et l'avait disputée pour n'importe quel prétexte. Elle lui avait répété qu'elle n'était pas chez elle et qu'elle avait l'interdiction de verrouiller la porte de sa chambre ou celle des toilettes. Il lui était arrivé quelquefois de la réveiller en pleine nuit pour lui faire des reproches et l'insulter. Ces disputes étaient survenues, d'abord, une fois par semaine environ, puis, durant la dernière année de leur vie commune, elles étaient devenues quotidiennes. La violation d'un devoir d'assistance ou d'éducation est une infraction qui entre souvent en concours avec celles contre l'intégrité physique (voir par ex. arrêts du Tribunal fédéral 6B_498/2008 du 18 août 2008 [violences physiques répétées] ; 6S.273/2004 du 24 septembre 2004 [coups répétés sur la tête sanctionnant les bêtises commises]) ou l'intégrité sexuelle (voir par ex. ATF 126 IV 136 [abus sexuels commis sur une jeune fille au pair] ; arrêt de la CPAR AARP/268/2012 du 10 septembre 2012 [actes d'ordre sexuel commis par un père sur sa fille]), caractéristiques des maltraitances subies par des enfants.</w:t>
      </w:r>
    </w:p>
    <w:p>
      <w:r>
        <w:rPr>
          <w:b/>
        </w:rPr>
        <w:t>E. 4.2</w:t>
      </w:r>
    </w:p>
    <w:p>
      <w:r>
        <w:t>En l'espèce, il sera rappelé que les accusations de menaces antérieures à janvier 2016 ont été classées par le premier juge. Il apparaît en outre que c'était la première fois, le 15 janvier 2016, que l'appelant s'était montré violent à l'égard de sa fille, ce qu'a confirmé le témoin M_____, extérieur à la famille, mais aussi la mère de la plaignante et les frères du prévenu. Il s'ensuit que seul cet épisode doit être pris en considération pour déterminer si l'appelant s'est rendu coupable de violation de l'art. 219 CP. Or, en l'absence d'autres éléments caractérisant une violation des devoirs éducatifs, tels que manque de soins, ostracisme de l'enfant, brimades continuelles, violences physiques ou verbales répétées, la réaction de l'appelant le 15 janvier 2016, pour inacceptable qu'elle fût, n'atteint pas un degré d'intensité propre à mettre en danger le développement psychique de l'enfant. Un tel accès de colère, isolé, n'est pas à même de détruire l'estime de soi et de compromettre le bon développement d'un enfant. Si une référence à un résultat concret n'est pas pertinente pour évaluer cette condition de l'infraction, force est d'admettre que le dossier ne permet pas de conclure que cet épisode serait à l'origine de souffrances particulièrement significatives, le témoin M______ ayant notamment indiqué qu'il n'avait plus eu de nouvelles de la plaignante, qui a semble-t-il continué à voir son père au domicile de la grand-mère, sans que cela ait donné lieu à de nouvelles confrontations. Les difficultés, rencontrées par l'enfant dans son parcours et ayant justifié une mesure de curatelle, semblent davantage générées par le climat familial fragile dans lequel celle-ci évolue, en raison notamment des incarcérations de sa mère et de son père, et ne sont pas reconductibles aux événements du 15 janvier 2016. Pour les motifs qui précèdent, l'appelant sera acquitté de l'infraction de violation du devoir d'assistance ou d'éducation (art. 219 al. 1 CP).</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5.1.2.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5.2.1 . D'après l'art. 49 al. 1 CP, si, en raison d'un ou de plusieurs actes, l'auteur remplit les conditions de plusieurs peines de même genre, le juge le condamne à la peine de l'infraction la plus grave et l'augmente dans une juste proportion. 5.2.2 .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5.3.1. En l'espèce, la faute de l'appelant est d'une certaine gravité. Il s'en est pris à l'intégrité physique et psychique de sa fille, mineure, envers laquelle il avait un devoir de protection, uniquement mû par la colère. La violence du coup porté à la jambe de l'enfant doit être soulignée, vu la taille des hématomes. Les infractions de lésions corporelles simples aggravées et de menaces sont toutes deux passibles d'une peine privative de liberté de trois ans au plus. Par le jeu du concours d'infractions, c'est une peine privative de liberté maximum de quatre ans et six mois qui entre en considération. L'appelant a de très nombreux antécédents qui dénotent une propension certaine à la violence et un ancrage dans la délinquance. Sa prise de conscience est très relative, l'appelant soutenant que sa fille mentirait au sujet des menaces ou de la gifle et qu'il serait victime d'un complot. La collaboration n'a pas été bonne, l'appelant s'étant limité à admettre ce qui n'était pas contestable, vu les traces de coup constatées par un médecin. Sa réaction n'est nullement justifiée par le contexte, l'appelant étant entouré de sa famille qui le soutient. La peine infligée n'est complémentaire qu'à celle prononcée le 2 septembre 2016 par le Tribunal de police, mais pas à celles antérieures (art. 49 al. 2 CP), de sorte que l'atténuation pour ce motif est plus limitée. Eu égard aux éléments qui précèdent, une peine privative de liberté de quatre mois représente la sanction adéquate et sera prononcée. 5.3.2. Vu les très nombreux antécédents, en partie spécifiques, l'appelant ne réunit pas les conditions du sursis, ce qu'il ne soutient du reste pas. 5.3.3. L'appelant ne conteste pas la mesure prononcée, fondée sur les conclusions de l'expert psychiatre, convaincantes et motivées, de sorte qu'elle sera confirmée.</w:t>
      </w:r>
    </w:p>
    <w:p>
      <w:r>
        <w:rPr>
          <w:b/>
        </w:rPr>
        <w:t>E. 6</w:t>
      </w:r>
    </w:p>
    <w:p>
      <w:r>
        <w:t>6.1.1. 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En présence de peines de types différents, l'imputation de la détention avant jugement s'opère en premier lieu sur la peine privative de liberté, puis en cas d'excédent sur la peine pécuniaire, indifféremment d'une identité entre cette dernière et la détention avant jugement subie (arrêt du Tribunal fédéral 6B_983/2013 du 24 février 2014 consid. 6.2). La question de l'indemnisation d'une détention injustifiée ne se pose en principe que si une imputation suffisante de cette détention sur une autre sanction au sens de l'art. 51 CP n'est plus possible ; l'indemnisation financière est ainsi subsidiaire à l'imputation (ATF 141 IV 236 consid. 3.3 p. 239 et les références citées). L'intéressé n'a pas le droit de choisir entre ces deux voies (arrêt du Tribunal fédéral 6B_431/2015 du 24 mars 2016 consid. 2.2.). 6.1.2. La procédure à suivre en matière d'imputation de la détention dans une autre procédure n'est pas réglée par la loi. En principe, l'imputation doit être effectuée par l'autorité appelée à statuer sur l'application de l'art. 431 al. 2 CPP, l'autre autorité devant être informée de l'imputation. Une imputation apparaît aussi possible à l'égard d'une ordonnance pénale non encore entrée en force (arrêt du Tribunal fédéral 1B_179/2011 du 17 juin 2011 et M. NIGGLI / M. HEER / H. WIPRÄCHTIGER [éds], Strafprozessordnung - Jugendstrafprozessordnung, Basler Kommentar StPO/JStPO, 2 e éd., Bâle 2014, n. 27 ad art. 431).</w:t>
      </w:r>
    </w:p>
    <w:p>
      <w:r>
        <w:rPr>
          <w:b/>
        </w:rPr>
        <w:t>E. 6.2</w:t>
      </w:r>
    </w:p>
    <w:p>
      <w:r>
        <w:t>L'appelant a été détenu à titre préventif dans la présente procédure du 8 avril au 25 novembre 2016, soit durant 232 jours. Si on en soustrait la peine de quatre mois (soit 120 jours) prononcée ce jour, il reste un excédent de 112 jours (232 – 120). L'appelant fait actuellement l'objet d'une procédure pénale P/19570/2017 pour laquelle il a été sanctionné par ordonnance pénale du Ministère public à des peines privative de liberté (70 jours) et pécuniaire (60 jours-amende), sous déduction de deux jours de détention avant jugement, non exécutoires, qui dépassent la durée de la détention subie en trop dans cette procédure. Il ne se justifie donc pas, à ce stade, d'octroyer une indemnité pour détention injustifiée, dans la mesure où une imputation est possible, tant sur la peine privative de liberté que sur la peine pécuniaire. La question d'une éventuelle indemnisation se posera, le cas échéant, à l'issue de cette autre procédure.</w:t>
      </w:r>
    </w:p>
    <w:p>
      <w:r>
        <w:rPr>
          <w:b/>
        </w:rPr>
        <w:t>E. 7</w:t>
      </w:r>
    </w:p>
    <w:p>
      <w:r>
        <w:t>7.1.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7.2</w:t>
      </w:r>
    </w:p>
    <w:p>
      <w:r>
        <w:t>L'appelant ayant été acquitté d'infraction à la loi sur les armes par le premier juge, la restitution du couteau saisi, dont il n'est pas établi qu'il a servi à commettre une infraction, sera ordonnée.</w:t>
      </w:r>
    </w:p>
    <w:p>
      <w:r>
        <w:rPr>
          <w:b/>
        </w:rPr>
        <w:t>E. 8</w:t>
      </w:r>
    </w:p>
    <w:p>
      <w:r>
        <w:t>L'appel étant partiellement admis, l'appelant sera condamné à la moitié des frais de la procédure d'appel, le solde étant laissé à la charge de l'Etat. L'infraction pour laquelle il a été acquitté n'ayant pas nécessité d'actes d'instruction séparés, le contexte de l'affaire étant le même, il ne se justifie pas de revoir la répartition des frais de première instance.</w:t>
      </w:r>
    </w:p>
    <w:p>
      <w:r>
        <w:rPr>
          <w:b/>
        </w:rPr>
        <w:t>E. 9</w:t>
      </w:r>
    </w:p>
    <w:p>
      <w:r>
        <w:t>En l'occurrence, l'activité déployée en appel par le défenseur d'office de l'appelant est en adéquation avec la nature, l'importance et la difficulté de la cause, de sorte qu'elle sera prise en compte dans son intégralité, forfait de 10% et TVA en sus. En conclusion, l'indemnité sera arrêté à CHF 2'653.25, y compris une majoration forfaitaire de 10% et la TVA au taux de 8%, par 196.55.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