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P/5191/2021 vom 28. November 2022</w:t>
      </w:r>
    </w:p>
    <w:p>
      <w:r>
        <w:t>GE Cour de justice, 2022-11-28, FR</w:t>
      </w:r>
    </w:p>
    <w:p>
      <w:r>
        <w:rPr>
          <w:b/>
        </w:rPr>
        <w:t xml:space="preserve">Quelle: </w:t>
      </w:r>
      <w:r>
        <w:t>https://mcp.opencaselaw.ch/entscheid/ge_gerichte_P_5191_2021</w:t>
      </w:r>
    </w:p>
    <w:p>
      <w:r>
        <w:t>FR: GE_GERICHTE P/5191/2021 du 28 novembre 2022</w:t>
      </w:r>
    </w:p>
    <w:p>
      <w:r>
        <w:t>IT: GE_GERICHTE P/5191/2021 del 28 novembre 2022</w:t>
      </w:r>
    </w:p>
    <w:p>
      <w:pPr>
        <w:pStyle w:val="Heading2"/>
      </w:pPr>
      <w:r>
        <w:t>Regeste</w:t>
      </w:r>
    </w:p>
    <w:p>
      <w:r>
        <w:t>DISPOSITIONS PÉNALES DE LA LSTUP;FIXATION DE LA PEINE;IN DUBIO PRO REO | LStup.19.al1.letd; CP.47; CP.49; CP.34; CP.41.al1; CP.42.al2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19 al. 1 let. d LStup est réalisé par celui qui, sans droit, possède, détient ou acquiert des stupéfiants ou s'en procure de toute autre manière.</w:t>
      </w:r>
    </w:p>
    <w:p>
      <w:r>
        <w:rPr>
          <w:b/>
        </w:rPr>
        <w:t>E. 2.3</w:t>
      </w:r>
    </w:p>
    <w:p>
      <w:r>
        <w:t>Il est établi et non contesté que le 4 mars 2021, l'appelant détenait un morceau de 11.5 grammes de haschisch ainsi que 30 grammes de cocaïne au total, conditionnés sous forme de cailloux, dont les deux tiers étaient dissimulés dans le pantalon d'une poupée retrouvée dans l'appartement de C______. À ce conditionnement, typique de celui utilisé pour de la vente, ce que l'appelant ne conteste pas, s'ajoutent à charge les objets retrouvés dans la cuisine, dont certains présentaient des résidus de haschisch et de cocaïne. On peine à comprendre, si la drogue saisie était réellement destinée à sa consommation personnelle, pour quelle raison il a dans un premier temps nié en connaître l'existence, ainsi que d'avoir utilisé ces ustensiles de cuisine. En dépit des variations dans ses déclarations, on ne voit pas quel aurait été l'intérêt de C______ d'imputer la propriété de ces objets à l'appelant, vu leur usage commun. Contrairement à ce que soutient l'appelant, le fait que la balance utilisée pour la pesée de la cocaïne n'ait été testée positive qu'à cette drogue, et non aux produits de coupage, n'accrédite pas la thèse de la simple consommation, d'autant plus que les tests pratiqués par la police concernent les stupéfiants et non les adjuvants ou les additifs, qui ne sont décelés que lors d'analyses chimiques plus approfondies. Par ailleurs, eu égard à la nature du trafic de l'appelant, il n'est pas surprenant qu'aucune note ou registre n'ait été retrouvé dans l'appartement. D'une part, il ne résidait pas à cet endroit et, d'autre part, il est constant que les trafiquants de rue indépendants, à l'instar du prévenu, ne tiennent aucune comptabilité de leurs ventes et recettes. Il en va de même de l'absence de trace d'un trafic de stupéfiants dans son téléphone portable, élément insuffisant pour exclure sa culpabilité, vu la nature à nouveau du trafic de rue, auquel s'est manifestement livré l'appelant. Les dires de l'appelant sur sa consommation de cocaïne ont été fluctuants, ne sont pas crédibles et sont peu réalistes. Une telle consommation, même limitée à une période de six mois, aurait assurément engendré des symptômes chez l'appelant lors de son arrestation. Or, aucun élément au dossier n'en fait état. À cela s'ajoute que ses deux précédentes condamnations pour consommation de stupéfiants concernent exclusivement de la marijuana. Les explications de l'appelant quant à la manière dont il aurait obtenu la cocaïne ne sont pas davantage crédibles. On peine à croire qu'il ait réussi à trouver les cachettes des vendeurs de cocaïne et à récupérer cette drogue sans que ces derniers ne s'en aperçoivent sinon usent de représailles à son encontre, vu la valeur marchande de la drogue, rarement dissimulée sans surveillance, étant relevé qu'un seul lieu de cachette a été mentionné en cours de procédure par l'appelant, la pauvreté de son discours à ce propos attestant de son manque de fondement. À ces considérations s'ajoute encore la découverte de CHF 617.90, le 4 mars 2021, sur sa personne et de CHF 930.- et EUR 40.-, en petites coupures, dans le porte-monnaie dont l'appelant s'est débarrassé lors de sa fuite du 11 juin 2021, les constatations policières par rapport à l'identité de la personne s'étant débarrassée du porte-monnaie pouvant difficilement être remises en question, dans la mesure où l'appelant et E______ ont pris la fuite en courant dans des directions opposées et, partant, ont fait l'objet de surveillances distinctes. Les explications de l'appelant quant à la collecte des CHF 617.90 ne sont de surcroît pas crédibles, eu égard à son mode de vie précaire et à celui des personnes qu'il fréquente. De telles économies sont de surcroît incompatibles avec les divers achats qu'il affirme avoir réalisés (haschich, téléphone portable, trottinette, etc.). Il s'est par ailleurs contredit quant à la destination de cet argent, récolté selon lui successivement pour payer l'opération de son frère handicapé, puis pour financer les soins de sa mère souffrante. En définitive, les déclarations de l'appelant tendant à fonder une détention de stupéfiants en vue d'assurer uniquement une consommation personnelle sont dénuées de consistance et ne résistent pas à la critique. Si une détention de haschich, partielle, pour sa consommation personnelle ne saurait être exclue, force est de conclure que la majeure partie de cette drogue, tout comme l'intégralité de la cocaïne, étaient destinées à la vente, seule source de revenu de l'appelant en Suisse. Il sera donc retenu que l'appelant a détenu de la cocaïne au sens d'un délit à la LStup, conformément à l'art. 19 al. 1 let. d LStup. Le verdict de culpabilité du premier juge sera confirmé.</w:t>
      </w:r>
    </w:p>
    <w:p>
      <w:r>
        <w:rPr>
          <w:b/>
        </w:rPr>
        <w:t>E. 3</w:t>
      </w:r>
    </w:p>
    <w:p>
      <w:r>
        <w:t>3.1. La peine menace de l'art. 19 al. 1 LStup est une peine privative de liberté de trois ans au plus, tandis que celle prévue par l'art. 115 al. 1 LEI est une peine privative de liberté d'un an au plus. Ces infractions sont, alternativement, réprimées par une peine pécuniaire. L'infraction à l'art. 286 CP est sanctionnée par une peine pécuniaire de 30 jours au plus tandis que l'infraction à l'art. 19a ch. 1 LStup est passible de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3.2.2. En matière de trafic de stupéfiants, la jurisprudence a dégagé les précisions suivantes (ATF 127 IV 101 )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S'agissant de la quantité pour la cocaïne, la condition objective est remplie dès que l'infraction porte sur une quantité contenant 18 grammes de substance pure (ATF 145 IV 312 consid. 2.1 ; 138 IV 100 consid. 3.2). Si l'auteur commet plusieurs actes distincts, les quantités qui en sont l'objet doivent être additionnées (ATF 112 IV 109 consid. 2b p. 113).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w:t>
      </w:r>
    </w:p>
    <w:p>
      <w:r>
        <w:rPr>
          <w:b/>
        </w:rPr>
        <w:t>E. 3.3</w:t>
      </w:r>
    </w:p>
    <w:p>
      <w:r>
        <w:t>Selon l'art. 49 CP, si, en raison d’un ou de plusieurs actes, l'auteur remplit les conditions de plusieurs peines de même genre, le juge le condamne à la peine de l'infraction la plus grave et l'augmente dans une juste proportion (al. 1). S'il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3.4</w:t>
      </w:r>
    </w:p>
    <w:p>
      <w:r>
        <w:t>La durée minimale de la peine privative de liberté est de trois jours (art. 40 CP).</w:t>
      </w:r>
    </w:p>
    <w:p>
      <w:r>
        <w:rPr>
          <w:b/>
        </w:rPr>
        <w:t>E. 3.5</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3.6.1.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 2 ème éd., 2017, n. 3 ad art. 41). 3.6.2.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w:t>
      </w:r>
    </w:p>
    <w:p>
      <w:r>
        <w:rPr>
          <w:b/>
        </w:rPr>
        <w:t>E. 3.7</w:t>
      </w:r>
    </w:p>
    <w:p>
      <w:r>
        <w:t>Selon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3.8.1. La faute de l'appelant n'est pas négligeable. Il s'est rendu coupable d'infraction à la LStup et a agi pour des motifs purement égoïstes, uniquement dictés par l'appât d'un gain facile, que la précarité de sa situation en Suisse ne saurait justifier. Les stupéfiants qu'il détenait pour la vente portaient principalement sur une drogue dite " dure ". Seule son interpellation a permis de mettre fin à ses actes. Par ailleurs, pendant près d'un an et demi, il a fait fi des règles applicables en matière de séjour, persistant à rester sur le territoire suisse, malgré ses précédentes condamnations pour séjour illégal. Sur une période de trois mois, il a été interpellé à deux reprises. Lors de sa seconde interpellation, il a tenté de se soustraire à un contrôle de police en prenant la fuite. Par ses actes, il a aussi montré son mépris pour l'autorité, la législation suisse et son ancrage répété dans la délinquance. Il y a concours d'infractions passibles du même genre de peine, ce qui aggrave nécessairement celle-ci. La situation personnelle de l'appelant, aussi précaire qu'elle fût, ne justifie pas son comportement. Sa collaboration a été médiocre et sa prise de conscience n'est pas bonne. Il n'a eu de cesse de nier les faits les plus graves et a donné des explications invraisemblables s'agissant de sa consommation de stupéfiants et sur l'origine des montants qu'il détenait. Il n'a admis que les évidences ; son séjour illégal en Suisse et sa fuite à la vue de la police. Ses antécédents sont mauvais et spécifiques. Il n'a tiré aucune leçon des sanctions passées, alors même qu'il a été condamné à cinq reprises de 2017 à 2020, notamment pour opposition aux actes de l'autorité, séjours illégaux et contraventions à la LStup. Il a par ailleurs récidivé à trois reprises dans le dernier délai d'épreuve octroyé le 30 juillet 2019 par le TP. Les peines prononcées à son encontre, en dernier lieu le 9 novembre 2020 à une peine privative de liberté ferme, n'ont pas été de nature à le dissuader de récidiver. Le pronostic est ainsi défavorable quant à son comportement futur. En outre, et contrairement à ce qu'il soutient, l'appelant ne dispose d'aucune source de revenu légale, rendant illusoire toute perspective de recouvrement d'une peine pécuniaire, vu la provenance pour le moins douteuse des espèces saisies lors de ses deux dernières interpellations. L'appelant, qui invoque la possibilité de régulariser sa situation administrative avec sa compagne, ne produit aucune pièce étayant la réalité d'un tel projet ; en particulier, aucune preuve d'une procédure de mariage en cours, ou de démarches débutées dans ce sens, n'a été versée à la procédure, projet rendu d'autant plus difficile à concrétiser que l'intéressé ne dispose d'aucun document d'identité, prérequis à ces fins. En tout état de cause, cet élément ne lui confère en l'état aucun droit de séjour en Suisse et ne prouve aucunement sa solvabilité, a fortiori. La Directive sur le retour 2008/115/CE n'est pas applicable dans la mesure où l'appelant s'est notamment rendu coupable de délit à la LStup. Les éléments qui précèdent excluent l'octroi du sursis et imposent de confirmer le choix du genre de peine, arrêté par le premier juge, sous réserve des infractions passibles uniquement d'une peine pécuniaire ou d'une amende. 3.8.2. Compte tenu de ce qui précède, le séjour illégal commis entre le 24 janvier 2020 et le 9 novembre 2020, soit durant un peu plus de neuf mois, justifierait, à lui seul, le prononcé d'une peine privative de liberté de 30 jours (peine hypothétique : 40 jours), complémentaire à celle de 40 jours prononcée le 9 novembre 2020 pour vol. Pour la peine principale, la sanction de l'infraction abstraitement la plus grave (art. 19 al. 1 let. d LStup) doit être fixée à une peine privative de liberté de 120 jours, augmentée de 20 jours pour tenir compte de l'infraction à la LEI commise entre le 10 novembre 2020 et le 11 juin 2021 (sept mois) (peine hypothétique : 30 jours). Partant, une peine privative de liberté totale de 170 jours aurait pu être prononcée. Le calcul de la peine par la juridiction d'appel aboutit ainsi à un résultat supérieur à la peine fixée en première instance, laquelle doit toutefois être confirmée en vertu du principe de l'interdiction de la reformatio in pejus . C'est ainsi la peine privative de liberté de 120 jours qui sera confirmée. La Cour juge approprié le quantum décidé par le TP de 15 jours-amende pour l'empêchement d'accomplir un acte officiel. Le montant du jour-amende, arrêté à CHF 10.-, est adéquat au regard de la situation financière de l'appelant. La contravention de CHF 200.- pour sanctionner la consommation de stupéfiants, laquelle n'est pas contestée par l'appelant, est adaptée et sera aussi confirmée. L'absence de révocation du sursis précédemment octroyé lui est pour le surplus acquise (art. 391 al. 2 CPP). L'appel sera partant rejeté et le jugement entrepris confirmé dans son ensemble.</w:t>
      </w:r>
    </w:p>
    <w:p>
      <w:r>
        <w:rPr>
          <w:b/>
        </w:rPr>
        <w:t>E. 4</w:t>
      </w:r>
    </w:p>
    <w:p>
      <w:r>
        <w:t>Les mesures de confiscation et de destruction des drogues et objets saisis, figurant sous chiffres 1 à 4 de l'inventaire n°5______ et sous chiffres 1 à 3 de l'inventaire n°6______, ne sont, à juste titre, pas contestées et seront partant confirmées (art. 69 CP). Vu la culpabilité de l'appelant du chef d'infraction à l'art. 19 al. 1 let. d LStup, le séquestre des valeurs patrimoniales figurant sous chiffre 4 de l'inventaire n° 6______ et la confiscation et la dévolution à l'État des valeurs patrimoniales figurant sous chiffre 4 de l'inventaire n°7______ sont justifiés et seront également confirmés (art. 70 al. 1 CP ; 267 al. 3 et 268 al. 1 CPP). Contrairement à ce que soutient l'appelant, le TP n'a pas confisqué les deux trottinettes laissées sur place aux K______ [GE] le 11 juin 2021, celles-ci ayant été restituées à leur légitime ayant droit. Il sera précisé qu'il s'agit de trottinettes distinctes de celles mentionnées par l'appelant suite à son arrestation du 4 mars 2021, dont il a affirmé s'être ultérieurement dessaisi, et que l'appelant a indiqué durant la procédure qu'il n'était pas le propriétaire des trottinettes saisies. Sa demande de restitution est dès lors infondée et sera partant rejetée. Les autres mesures de restitution ne sont pas contestées en appel et seront donc confirmées (art. 267 al. 1 CPP).</w:t>
      </w:r>
    </w:p>
    <w:p>
      <w:r>
        <w:rPr>
          <w:b/>
        </w:rPr>
        <w:t>E. 5.1</w:t>
      </w:r>
    </w:p>
    <w:p>
      <w:r>
        <w:t>L'appelant, qui succombe, supportera les frais de la procédure envers l'État, comprenant un émolument d'arrêt de CHF 1'200.- (art. 428 al. 1 CPP ; art. 14 al. 1 let. e du règlement fixant le tarif des frais en matière pénale [RTFMP]).</w:t>
      </w:r>
    </w:p>
    <w:p>
      <w:r>
        <w:rPr>
          <w:b/>
        </w:rPr>
        <w:t>E. 5.2</w:t>
      </w:r>
    </w:p>
    <w:p>
      <w:r>
        <w:t>Sa culpabilité étant acquise, la mise à sa charge de 7/8 èmes des frais de première instance et de l'intégralité de l'émolument complémentaire de jugement sera aussi confirmée (art. 426 al. 1 CPP).</w:t>
      </w:r>
    </w:p>
    <w:p>
      <w:r>
        <w:rPr>
          <w:b/>
        </w:rPr>
        <w:t>E. 6</w:t>
      </w:r>
    </w:p>
    <w:p>
      <w:r>
        <w:t>Vu l'issue de l'appel, la compensation des frais susvisés à due concurrence des valeurs patrimoniales séquestrées sera également confirmée (art. 442 al. 4 CPP).</w:t>
      </w:r>
    </w:p>
    <w:p>
      <w:r>
        <w:rPr>
          <w:b/>
        </w:rPr>
        <w:t>E. 7</w:t>
      </w:r>
    </w:p>
    <w:p>
      <w:r>
        <w:t>Considéré globalement, l'état de frais produit par M e B______, défenseure d'office de A______, satisfait les exigences légales et jurisprudentielles régissant l'assistance judiciaire gratuite en matière pénale. Sa rémunération sera partant arrêtée à CHF 904.70, correspondant à trois heures et 30 minutes d'activité au tarif de CHF 200.-/heure (CHF 700.-) plus la majoration forfaitaire de 20% (CHF 140.-) au vu de l'activité indemnisée en première instance et l'équivalent de la TVA au taux de 7.7% (CHF 64.70).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