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P/518/2020 vom 30. Juni 2022</w:t>
      </w:r>
    </w:p>
    <w:p>
      <w:r>
        <w:t>GE Cour de justice, 2022-06-30, FR</w:t>
      </w:r>
    </w:p>
    <w:p>
      <w:r>
        <w:rPr>
          <w:b/>
        </w:rPr>
        <w:t xml:space="preserve">Quelle: </w:t>
      </w:r>
      <w:r>
        <w:t>https://mcp.opencaselaw.ch/entscheid/ge_gerichte_P_518_2020</w:t>
      </w:r>
    </w:p>
    <w:p>
      <w:r>
        <w:t>FR: GE_GERICHTE P/518/2020 du 30 juin 2022</w:t>
      </w:r>
    </w:p>
    <w:p>
      <w:r>
        <w:t>IT: GE_GERICHTE P/518/2020 del 30 giugno 2022</w:t>
      </w:r>
    </w:p>
    <w:p>
      <w:pPr>
        <w:pStyle w:val="Heading2"/>
      </w:pPr>
      <w:r>
        <w:t>Regeste</w:t>
      </w:r>
    </w:p>
    <w:p>
      <w:r>
        <w:t>CLASSEMENT DE LA PROCÉDURE;IMPUTATION;FRAIS DE LA PROCÉDURE;INDEMNITÉ(EN GÉNÉRAL);FAUTE | CPP.319; CPP.433; CPP.430; CPP.426.al2; CP.158; CP.138</w:t>
      </w:r>
    </w:p>
    <w:p>
      <w:pPr>
        <w:pStyle w:val="Heading2"/>
      </w:pPr>
      <w:r>
        <w:t>Erwägungen</w:t>
      </w:r>
    </w:p>
    <w:p>
      <w:r>
        <w:rPr>
          <w:b/>
        </w:rPr>
        <w:t>E. 1</w:t>
      </w:r>
    </w:p>
    <w:p>
      <w:r>
        <w:t>Le recours est recevable pour avoir été déposé selon la forme et dans le délai prescrits (art. 90 al. 2, 385 al. 1 et 396 al. 1 CPP), concerner des points du dispositif d'une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 ![endif]&gt;![if&gt;</w:t>
      </w:r>
    </w:p>
    <w:p>
      <w:r>
        <w:rPr>
          <w:b/>
        </w:rPr>
        <w:t>E. 2</w:t>
      </w:r>
    </w:p>
    <w:p>
      <w:r>
        <w:t>Le recourant se plaint d'un défaut de motivation, le Ministère public n'ayant pas explicité le comportement qui lui était reproché, aucune norme de comportement n'étant citée à l'appui de l'ordonnance querellée. ![endif]&gt;![if&gt;</w:t>
      </w:r>
    </w:p>
    <w:p>
      <w:r>
        <w:rPr>
          <w:b/>
        </w:rPr>
        <w:t>E. 2.1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135 I 265 consid. 4.3; 126 I 97 consid. 2b). Le droit d'être entendu est une garantie constitutionnelle de caractère formel, dont la violation doit entraîner l'annulation de la décision, indépendamment des chances de succès du recours sur le fond (ATF 135 I 187 consid. 2.2 p. 190; 122 II 464 consid. 4a p. 469). À titre exceptionnel,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2.3.2 p. 197 = SJ 2011 I 347; 136 V 117 consid. 4.2.2.2 p. 126/127; 133 I 201 consid. 2.2 p. 204).![endif]&gt;![if&gt;</w:t>
      </w:r>
    </w:p>
    <w:p>
      <w:r>
        <w:rPr>
          <w:b/>
        </w:rPr>
        <w:t>E. 2.2</w:t>
      </w:r>
    </w:p>
    <w:p>
      <w:r>
        <w:t>En l'espèce, le Ministère public a considéré que le recourant, par son comportement dans le cadre de la gestion des sociétés du groupe G______, avait donné l'apparence d'un comportement répréhensible et éveillé des soupçons. L'autorité précédente a par ailleurs retenu qu'il n'avait pas correctement exécuté le contrat de vente et d'achat d'actions du 13 juin 2018, comprenant une obligation de résultat, à savoir d'apporter de nouveaux actifs sous gestion, ce qui avait également conduit au dépôt d'une plainte. Cette motivation, bien que succincte, permettait au recourant de comprendre la position défendue par le Procureur. Pour le surplus, ce dernier a, dans ses observations, développé les raisons qui justifiaient, selon lui, que les frais de la procédure soient mis à la charge du recourant et le refus de l'indemnité sollicitée par celui-ci, invoquant les normes civiles de comportement possiblement enfreintes par l'intéressé. ![endif]&gt;![if&gt; Quoiqu'il en soit, compte tenu de la possibilité qui a été donnée au recourant de s'exprimer sans restriction dans le cadre de la procédure de recours, notamment sur les observations du Ministère public, une éventuelle violation de son droit d'être entendu, à supposer qu'elle ait existé, aurait été réparée devant la Chambre de céans, qui dispose d'un plein pouvoir de cognition en fait, en droit et en opportunité (art. 393 al. 2 CPP). Ce grief sera dès lors rejeté.</w:t>
      </w:r>
    </w:p>
    <w:p>
      <w:r>
        <w:rPr>
          <w:b/>
        </w:rPr>
        <w:t>E. 3</w:t>
      </w:r>
    </w:p>
    <w:p>
      <w:r>
        <w:t>Le recourant reproche au Ministère public de l'avoir condamné aux frais de la procédure. ![endif]&gt;![if&gt;</w:t>
      </w:r>
    </w:p>
    <w:p>
      <w:r>
        <w:rPr>
          <w:b/>
        </w:rPr>
        <w:t>E. 3.1</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celle-ci.![endif]&gt;![if&gt; La condamnation d'un prévenu acquitté à supporter tout ou partie des frais, respectivement le refus de lui allouer une indemnisation à raison du préjudice subi par la procédure pénale,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144 IV 202 consid. 2.2 p. 205; 119 Ia 332 consid. 1b p. 334).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(ATF 119 Ia 332 consid. 1b et les réf. citées).  Le fait reproché doit constituer une violation claire de la norme de comportement (ATF 144 IV 202 consid. 2.2. p. 204). Le comportement imputé au prévenu doit se trouver dans une relation de causalité adéquate avec l'ouverture de l'enquête ou les obstacles mis à celle-ci (cf. ATF 116 Ia 162 consid. 2c p. 170 s.; plus récemment : arrêt du Tribunal fédéral 6B_806/2019 du 9 octobre 2019 consid. 2.) La relation de causalité est établie lorsque, selon le cours ordinaire des choses et l'expérience de la vie, le comportement de la personne concernée était de nature à provoquer l'ouverture de la procédure pénale et le dommage ou les frais que celle-ci a entraînés (ATF 116 Ia 162 consid. 2c ; arrêt du Tribunal fédéral 6B_203/2015 du 16 mars 2016 consid. 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 arrêt 6B_429/2017 du 14 février 2018 consid. 5.1) 3.2.1. Le rapport juridique entre la société et ses organes s'apparente à un mandat (ATF 129 III 499 consid. 3 p. 502).![endif]&gt;![if&gt; Conformément à l'art. 398 CO, le mandataire, à l'instar du travailleur (art. 321a al. 1 CO) doit exécuter avec soin la mission qui lui est confiée et sauvegarder fidèlement les intérêts légitimes de son mandant. 3.2.2. L'art. 717 al. 1 CO confirme que les membres du conseil d'administration, de même que les tiers qui s'occupent de la gestion, exercent leurs attributions avec toute la diligence nécessaire et veillent fidèlement aux intérêts de la société.  ![endif]&gt;![if&gt; L'exigence de diligence constitue plus qu'un simple devoir : elle établit la mesure de la diligence requise ( Sorgfaltsmassstab ) dans l'exécution concrète de tous les autres devoirs (arrêt du Tribunal fédéral 2C_790/2019 du 14 septembre 2020 consid. 11.1.1). Il appartient en particulier aux administrateurs de contrôler de manière régulière la situation économique et financière de la société (ATF 132 III 564 consid. 5.1). Par ailleurs, le devoir de fidélité commande que les dirigeants orientent leur comportement en fonction des intérêts des affaires de la société. Il leur interdit de placer leurs intérêts personnels ou l'intérêt de tiers avant l'intérêt social (ATF 130 III 213 consid. 2.2.2). 3.2.3. L'art. 716a al. 1 CO fixe les attributions du conseil d'administration qu'il convient de considérer comme essentielles. Outre fixer les principes de la comptabilité et du contrôle financier ainsi que le plan financier pour autant que celui-ci soit nécessaire à la gestion de la société (ch. 3), il lui incombe, entre autres, d'exercer la haute surveillance sur les personnes chargées de la gestion pour s'assurer notamment qu'elles observent la loi, les statuts, les règlements et les instructions données (ch. 5).![endif]&gt;![if&gt; 3.2.4. Le directeur d'une société anonyme se trouve lié à celle-ci par un double rapport (obligationnel en vertu du droit du travail) et organique (en vertu du droit des sociétés), à telle enseigne que l'organe qui a une position d'employé doit respecter à la fois le devoir de fidélité du travailleur (art. 321a CO) et le devoir de fidélité d'une personne qui s'occupe de la gestion instaurée par l'art. 717 CO (ATF 140 III 409 consid. 3.1 p. 412; 130 III 213 consid. 2.1 p. 216 s., 128 III 129 consid. 1 p. 131 s.). Il en résulte notamment que l'employé qui a une position d'organe ne peut pas défendre ses intérêts d'employé à l'encontre de la société anonyme de la même manière que tout autre employé, parce que sa position, du point de vue du droit des sociétés, l'oblige à sauvegarder les intérêts de la société (ATF 128 III 129 consid. 1a/aa p. 132).![endif]&gt;![if&gt; 3.2.5. Conformément à l’art. 754 al. 1 CO,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Selon le Tribunal fédéral, il est incontestable que les directeurs de la société anonyme qui dépendent directement du conseil d'administration, à l'instar du CEO, sont des personnes qui s'occupent de la gestion (arrêt du Tribunal fédéral 4A_55/2017 du 16 juin 2017 consid. 4.2).![endif]&gt;![if&gt;</w:t>
      </w:r>
    </w:p>
    <w:p>
      <w:r>
        <w:rPr>
          <w:b/>
        </w:rPr>
        <w:t>E. 3.3</w:t>
      </w:r>
    </w:p>
    <w:p>
      <w:r>
        <w:t>En l'espèce, il est établi, et non contesté, que le recourant a exercé conjointement les fonctions d'administrateur et de CEO des sociétés du groupe G______ au moment des faits reprochés. Dans la mesure où cette position est celle d'un gérant, il avait un devoir d'administrer et de sauvegarder leurs intérêts patrimoniaux. En tant qu'administrateur, il lui incombait notamment d'adapter les dépenses aux moyens dont disposaient les sociétés, en veillant, au besoin, à faire passer les intérêts de ces dernières avant les siens propres. ![endif]&gt;![if&gt; Or, entre 2018 et 2019, il a reconnu avoir fait supporter aux diverses entités du groupe – dont la situation financière était alors critique – des dépenses importantes a priori sans rapport avec les activités desdites sociétés, tels que des frais relatifs à des évènements privés, à des séjours à l'étranger en compagnie de sa famille, à deux voitures dont une de luxe, à l'acquisition de bouteilles d'alcool onéreuses, à la location de biens immobiliers en montagne et à la maintenance d'un bateau. Le Ministère public a certes retenu que, d'un point de vue pénal, il n'existait pa s d'éléments suffisants pour retenir la commission d'une infraction. Il n'en demeure pas moins, et quoi qu'en dise le recourant, que lesdites dépenses, s'élevant à plusieurs dizaines de milliers de francs, n'étaient pas adaptées à la situation financière des sociétés du groupe, ni justifiées par la bonne marche des affaires, que le recourant connaissait toutes deux. Même dans l'hypothèse où certaines de ces dépenses auraient eu un but commercial, elles étaient en tout état de cause disproportionnées, eu égard aux moyens financiers des sociétés concernées et du fait qu'elles n'ont permis d'apporter aucun nouveau client. À cela s'ajoute que le recourant n'a fourni aucun justificatif ni décompte démontrant le but de ces frais, étant précisé qu'il a admis avoir utilisé à des fins privées des appartements en montagne, les deux voitures de marques R______ et S______ ainsi que le bateau susmentionnés. Il a par ailleurs reconnu que la facture d'un montant de CHF 35'000.- relative à l'anniversaire de son épouse à M______ au mois de juin 2019 n'avait pas été soumise à l'approbation de C______ LTD, contrevenant ainsi à l'art. 11.1.6 de la convention d'actionnaires du 13 juin 2018, prévoyant que toute transaction d'un montant supérieur à USD 20'000.- devait être approuvée par les actionnaires de G______ SA. Ainsi, en mettant à la charge des sociétés du groupe G______ – dont la situation de surendettement a été communiquée au TPI le 23 décembre 2019 – des frais qui n'étaient a priori ni nécessaires ni raisonnables, le recourant a failli à ses devoirs de diligence et de fidélité auxquels il était soumis en tant que personne chargée de veiller à la bonne gestion des intérêts pécuniaires de ces entités. Par ailleurs, il résulte du dossier qu'il s'est versé un salaire de CHF 27'500.- au mois de juin 2018 pour son activité au sein des filiales du groupe. Or, d'après ses contrats de travail des 28 mai 2018, ayant pris effet le 1 er juin 2018, il ne pouvait prétendre à une rémunération qu'à la condition que les affaires desdites sociétés soient rentables et qu'un bénéfice net soit dégagé à la clôture de l'exercice 2018, condition qui n'était pas remplie, en l'espèce. Quand bien même sa responsabilité pénale n'a pas été retenue, le recourant s'est néanmoins rendu coupable d'agissements contraires à ses obligations professionnelles de diligence et de fidélité, donnant, semble-t-il, la préférence à ses intérêts personnels. Ainsi, ses manquements, par rapport aux règles du droit de la société anonyme principalement, étaient de nature à susciter auprès des sociétés plaignantes des interrogations quant à la manière dont il avait géré les sociétés litigieuses. Dans ces circonstances, le Ministère public était légitimé à ouvrir une procédure des chefs, notamment, d'abus de confiance (art. 138 CP) et de gestion déloyale (art. 158 CP). Le lien de causalité adéquate est réalisé et le recourant ne saurait reprocher aux autorités de poursuite pénale d'avoir procédé par excès de zèle. L'imputation, par le Procureur, des frais de la cause au recourant est dès lors exempte de critique dans son résultat, étant précisé que les autres infractions dont l'intéressé était prévenu (art. 146, 251, 322 septies CP et 23 LCD) n'ont pas engendré de frais particuliers, n'ayant pas fait l'objet de mesures d'instruction spécifiques, dont les coûts pourraient être isolés. L'ordonnance querellée ne prête dès lors pas le flanc à la critique et sera confirmée sur ce point.</w:t>
      </w:r>
    </w:p>
    <w:p>
      <w:r>
        <w:rPr>
          <w:b/>
        </w:rPr>
        <w:t>E. 4</w:t>
      </w:r>
    </w:p>
    <w:p>
      <w:r>
        <w:t>Le recourant fait grief au Ministère public d'avoir mis à sa charge l'indemnité de procédure due à C______ LTD, fixée à CHF 6'028.80.-. ![endif]&gt;![if&gt;</w:t>
      </w:r>
    </w:p>
    <w:p>
      <w:r>
        <w:rPr>
          <w:b/>
        </w:rPr>
        <w:t>E. 4.1</w:t>
      </w:r>
    </w:p>
    <w:p>
      <w:r>
        <w:t>L'art. 433 al. 1 CPP permet à la partie plaignante de demander au prévenu une juste indemnité pour les dépenses obligatoires occasionnées par la procédure lorsqu'elle obtient gain de cause (let. a) ou lorsque le prévenu est astreint au paiement des frais (let. b). ![endif]&gt;![if&gt; Cette seconde hypothèse vise le prévenu astreint au paiement des frais selon l'art. 426 al. 2 CPP (JEANNERET / A. KUHN / C. PERRIER DEPEURSINGE (éds), Commentaire romand : Code de procédure pénale suisse , 2 ème éd., Bâle 2019, n. 5 ad art. 433).</w:t>
      </w:r>
    </w:p>
    <w:p>
      <w:r>
        <w:rPr>
          <w:b/>
        </w:rPr>
        <w:t>E. 4.2</w:t>
      </w:r>
    </w:p>
    <w:p>
      <w:r>
        <w:t>En l'occurrence, C______ LTD a expressément dirigé contre le recourant une demande d'indemnisation pour ses frais de défense, liés à la procédure. L'intéressé ayant été condamné à supporter les frais de l'État, par application de l'art. 426 al. 2 CPP, les conditions d'application de l'art. 433 al.1 let. b CPP sont par conséquent réalisées. ![endif]&gt;![if&gt; Le recours est ainsi infondé sur ce point également.</w:t>
      </w:r>
    </w:p>
    <w:p>
      <w:r>
        <w:rPr>
          <w:b/>
        </w:rPr>
        <w:t>E. 5</w:t>
      </w:r>
    </w:p>
    <w:p>
      <w:r>
        <w:t>Le recourant se prévaut d'une violation de l'art. 430 al.1 let. a CPP et conclut au versement d'une indemnité de CHF 22'670.55 au total à titre de frais de défense. ![endif]&gt;![if&gt;</w:t>
      </w:r>
    </w:p>
    <w:p>
      <w:r>
        <w:rPr>
          <w:b/>
        </w:rPr>
        <w:t>E. 5.1</w:t>
      </w:r>
    </w:p>
    <w:p>
      <w:r>
        <w:t>L'art. 430 al. 1 let. a CPP est le pendant de l'art. 426 al. 2 CPP en matière de frais. L'application de cette dernière disposition exclut, en principe, le droit à une indemnisation. La question de l'indemnisation doit être tranchée après celle des frais. Dans cette mesure, la décision sur ceux-ci préjuge du sort de celle-là. Il en résulte qu'en cas de condamnation aux frais, il n'y a pas lieu d'octroyer une indemnité au sens de l'art. 429 al. 1 CPP (ATF 137 IV 352 consid. 2.4.2; arrêt du Tribunal fédéral 6B_1268/2018 du 15 février 2019 consid. 4.1).</w:t>
      </w:r>
    </w:p>
    <w:p>
      <w:r>
        <w:rPr>
          <w:b/>
        </w:rPr>
        <w:t>E. 5.2</w:t>
      </w:r>
    </w:p>
    <w:p>
      <w:r>
        <w:t>In casu , le recourant a été astreint au paiement des frais en application de l'art. 426 al. 2 CPP. Dès lors que la réglementation relative à l'indemnisation suit celle se rapportant aux frais, le refus du Procureur de dédommager l'intéressé ne prête nullement le flanc à la critique.![endif]&gt;![if&gt;</w:t>
      </w:r>
    </w:p>
    <w:p>
      <w:r>
        <w:rPr>
          <w:b/>
        </w:rPr>
        <w:t>E. 6</w:t>
      </w:r>
    </w:p>
    <w:p>
      <w:r>
        <w:t>Justifiée, l'ordonnance querellée sera donc confirmée. ![endif]&gt;![if&gt;</w:t>
      </w:r>
    </w:p>
    <w:p>
      <w:r>
        <w:rPr>
          <w:b/>
        </w:rPr>
        <w:t>E. 7</w:t>
      </w:r>
    </w:p>
    <w:p>
      <w:r>
        <w:t>Le recourant, qui succombe, supportera les frais envers l'État, qui seront fixés en totalité à CHF 900.- (art. 428 al. 1 CPP et 13 al. 1 du Règlement fixant le tarif des frais en matière pénale, RTFMP ; E 4 10.03).![endif]&gt;![if&gt;</w:t>
      </w:r>
    </w:p>
    <w:p>
      <w:r>
        <w:rPr>
          <w:b/>
        </w:rPr>
        <w:t>E. 8</w:t>
      </w:r>
    </w:p>
    <w:p>
      <w:r>
        <w:t>L’intimée, partie plaignante, a conclu à des dépens, qu’elle n’a cependant ni chiffré ni justifié. Il ne peut donc lui en être alloué (art. 433 al. 2 CPP).![endif]&gt;![if&gt;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