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P/5177/2017 vom 10. Januar 2020</w:t>
      </w:r>
    </w:p>
    <w:p>
      <w:r>
        <w:t>GE Cour de justice, 2020-01-10, FR</w:t>
      </w:r>
    </w:p>
    <w:p>
      <w:r>
        <w:rPr>
          <w:b/>
        </w:rPr>
        <w:t xml:space="preserve">Quelle: </w:t>
      </w:r>
      <w:r>
        <w:t>https://mcp.opencaselaw.ch/entscheid/ge_gerichte_P_5177_2017</w:t>
      </w:r>
    </w:p>
    <w:p>
      <w:r>
        <w:t>FR: GE_GERICHTE P/5177/2017 du 10 janvier 2020</w:t>
      </w:r>
    </w:p>
    <w:p>
      <w:r>
        <w:t>IT: GE_GERICHTE P/5177/2017 del 10 gennaio 2020</w:t>
      </w:r>
    </w:p>
    <w:p>
      <w:pPr>
        <w:pStyle w:val="Heading2"/>
      </w:pPr>
      <w:r>
        <w:t>Regeste</w:t>
      </w:r>
    </w:p>
    <w:p>
      <w:r>
        <w:t>HOMICIDE PAR NÉGLIGENCE;CIRCULATION ROUTIÈRE(DROIT DE LA CIRCULATION ROUTIÈRE);POIDS LOURD;PIÉTON | CP.117; CP.12; LCR.26; LCR.49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127 I 28 consid. 2a p. 40 s.). En tant que règle sur le fardeau de la preuve, elle implique, au stade du jugement, que le doute doit profiter au prévenu (cf. ATF 143 IV 500 consid. 1.1 p. 503 ; arrêt du Tribunal fédéral 6B_377/2018 du 22 août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138 V 74 consid. 7 p. 82 ; 127 I 38 consid. 2a p. 41 ; 124 IV 86 consid. 2a p. 87 s.).</w:t>
      </w:r>
    </w:p>
    <w:p>
      <w:r>
        <w:rPr>
          <w:b/>
        </w:rPr>
        <w:t>E. 2.2</w:t>
      </w:r>
    </w:p>
    <w:p>
      <w:r>
        <w:t>L'art. 117 CP réprime le comportement de celui qui, par sa négligence, aura causé la mort d'une personne.</w:t>
      </w:r>
    </w:p>
    <w:p>
      <w:r>
        <w:rPr>
          <w:b/>
        </w:rPr>
        <w:t>E. 2.2.1</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Pour qu'il y ait négligence, il faut en premier lieu que l'auteur viole les règles de la prudence.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p. 262 et les références citées). S'il y a eu violation des règles de la prudence, encore faut-il que celle-ci puisse être imputée à faute, c'est-à-dire que l'on puisse reprocher à l'auteur, compte tenu de ses circonstances personnelles, une inattention ou un manque d'effort blâmables (ATF 135 IV 56 consid. 2.1 p. 64; 134 IV 255 consid. 4.2.3 p. 262).</w:t>
      </w:r>
    </w:p>
    <w:p>
      <w:r>
        <w:rPr>
          <w:b/>
        </w:rPr>
        <w:t>E. 2.2.2</w:t>
      </w:r>
    </w:p>
    <w:p>
      <w:r>
        <w:t>Il faut en outre qu'il existe un rapport de causalité entre la violation fautive du devoir de prudence et les lésions de la victime. S'agissant de la causalité adéquate, le comportement de l'auteur doit, selon le cours ordinaire des choses et l'expérience de la vie, être de nature à provoquer ou au moins à favoriser un résultat tel que celui qui s'est produit. Il n'y a rupture de ce lien, l'enchaînement des faits perdant sa portée juridique, que si une autre cause concomitante - par exemple une force naturelle, le comportement de la victime ou celui d'un tiers - propre au cas d'espèce constitue une circonstance tout à fait exceptionnelle ou apparaît si extraordinaire que l'on ne pouvait pas s'y attendre. Cette imprévisibilité de l'acte concurrent ne suffit cependant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143 III 242 consid. 3.7 p. 250; 135 IV 56 consid. 2.1 p. 65 ; 131 IV 145 consid. 5.3). 2.3.1. Lorsque des prescriptions légales ou administratives ont été édictées dans un but de prévention des accidents, leur violation fait présumer la violation du devoir général de prudence (ATF 143 IV 138 consid. 2.1 p. 140 ; 135 IV 56 consid. 2.1 p. 64 ; 134 IV 255 consid. 4.2.3 p. 262). S'agissant d'un accident de la route, il convient de se référer aux règles de la circulation routière (ATF 122 IV 133 consid. 2a p. 135). 2.3.2. L'art. 26 al. 1 de la loi sur la circulation routière du 19 décembre 1958 (LCR ; RS 741.01) prescrit que chacun doit se comporter, dans la circulation, de manière à ne pas gêner ni mettre en danger ceux qui utilisent la route conformément aux règles établies. Une prudence particulière s'impose à l'égard des enfants, des infirmes, des personnes âgées, et de même, s'il apparaît qu'un usager de la route va se comporter de manière incorrecte (art. 26 al. 2 LCR).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103 IV 101 consid. 2b). Sur les passages pour piétons où le trafic n'est pas réglé, les piétons bénéficient de la priorité (art. 49 al. 2 LCR et 47 al. 2 de l'ordonnance sur les règles de la circulation routière du 13 novembre 1962 [OCR ; RS 741.11]), mais doivent s'engager avec circonspection sur la chaussée, notamment s'ils se trouvent près d'une voiture à l'arrêt (art. 47 al. 1 OCR). Le conducteur facilitera aux piétons la traversée de la chaussée (art. 33 al. 1 LCR). Avant les passages pour piétons, il circulera avec une prudence particulière et, au besoin, s'arrêtera pour laisser la priorité aux piétons qui se trouvent déjà sur le passage ou s'y engagent (al. 2). La " prudence particulière " avant les passages pour piétons que doit adopter le conducteur selon cette disposition signifie qu'il doit porter une attention accrue à ces passages protégés et à leurs abords par rapport au reste du trafic et être prêt à s'arrêter à temps si un piéton traverse la chaussée ou en manifeste la volonté (arrêt du Tribunal fédéral 1C_87/2009 du 11 août 2009 consid. 3.2). Sa visibilité doit porter sur toute la chaussée et sur le trottoir à proximité du passage (arrêt du Tribunal fédéral 6S.96/2006 du 3 avril 2006 résumé in JT 2006 I 439 ). Dans la mesure où le phénomène de l'angle mort est un facteur inhérent à la conception du véhicule dont le conducteur doit toujours tenir compte dès le départ, il n'est pas acceptable d'attribuer la dissimulation d'un usager de la route au hasard et de transmettre les risques découlant de l'angle mort aux autres usagers de la route. Le conducteur doit plutôt s'assurer que les risques découlant de ce facteur sont éliminés (arrêt du Tribunal fédéral 6A_71/2002 du 5 décembre 2002 consid. 5.3). Le Tribunal fédéral a ainsi estimé que si la vue à l'avant d'un chauffeur de camion était limitée et qu'aucun miroir ne lui permettait d'observer l'angle mort, il devait se soulever de son siège et se pencher pour se procurer une visibilité suffisante afin de s'assurer que personne ne se trouvait dans l'angle mort de son véhicule, une telle précaution pouvant notamment être imposée lorsqu'il y avait à craindre que des piétons ne passent immédiatement devant son véhicule (ATF 127 IV 34 consid. 3b).</w:t>
      </w:r>
    </w:p>
    <w:p>
      <w:r>
        <w:rPr>
          <w:b/>
        </w:rPr>
        <w:t>E. 2.4</w:t>
      </w:r>
    </w:p>
    <w:p>
      <w:r>
        <w:t>En l'espèce, il n'est pas contesté que C______ a perdu la vie après avoir été percuté par le camion conduit par l'appelant. Ce dernier a indiqué, sans être contredit, avoir respecté les temps de pause et n'avoir consommé ni alcool ni stupéfiants. Ni l'équipement ni l'entretien de son véhicule ne sont remis en cause. L'analyse du chronotachygraphe ne permet par ailleurs pas de déceler de comportement fautif de sa part. Son allure était en effet modérée, la vitesse moyenne de 80 km/h enregistrée avant 14:49:00 correspondant vraisemblablement aux derniers mètres parcourus sur l'autoroute. Plusieurs arrêts ont ensuite été enregistrés (de 14:51:15 à 14:51:49, de 14:53:19 à 14:53:30, de 14:54:02 à 14:55:16 et de 14:55:31 à 14:56:00) sans que l'on puisse déterminer l'endroit exact où ils sont intervenus. Une comparaison avec l'heure de passage aux points de vidéosurveillance, comme l'a fait le recourant, n'est en effet pas possible, les horloges des caméras n'étant à l'évidence pas synchronisées (à titre d'exemple, les caméras de surveillance ont filmé le camion à 14:52:27 peu après le croisement avec l'avenue 10______ et à 14:59:04 au carrefour de l'avenue 4______, soit une distance de 900 mètres parcourue en un peu moins de sept minutes, soit le laps de temps séparant, à teneur du chronotachygraphe, la sortie du camion de l'autoroute du dernier arrêt enregistré à 14:55:31). Quoi qu'il en soit, ces arrêts sont susceptibles de coïncider avec la signalisation (feux) ou les besoins de la circulation (passages pour piétons) jalonnant le parcours considéré, de sorte que l'on ne saurait retenir que l'appelant circulait, au moment de l'accident, à la vitesse de 33 km/h à 50 km/h évoquée dans l'acte d'accusation. Les circonstances exactes de ce dernier telles que décrites dans l'acte d'accusation n'ont pu être confirmées. L'appelant ne s'est en effet rendu compte de rien et l'attention des témoins F______ et G______ n'a été attirée qu'après le heurt, en raison de la réaction de passants. Un choc à une vitesse de plus de 33 km/h est néanmoins d'autant moins probable que C______, pourtant âgé de près de 90 ans, est parvenu à s'agripper au centre du pare-chocs, ce qu'il n'aurait vraisemblablement pu faire s'il avait été percuté aux vitesses relevées par le chronotachygraphe, alors que le camion roulait sans obstacle sur sa route. Au vu des éléments du dossier et des déclarations de l'appelant lui-même, la Chambre de céans considère ainsi que l'on ne saurait retenir, faute d'éléments démontrant le contraire, que l'appelant ne se serait pas arrêté à l'approche du passage pour piétons desservant l'arrêt de tram " 2______ ". L'appelant s'est déclaré certain, car il le faisait toujours, de s'être assuré, avant de redémarrer, que personne ne se trouvait sur le passage pour piétons, notamment en vérifiant ses rétroviseurs. Il a néanmoins admis que le camion avait des angles morts et qu'il ne pouvait en particulier voir ce qui se trouvait sous la limite inférieure de son pare-brise, située à deux mètres du sol. Dans la mesure où il a indiqué qu'il s'arrêtait soit sur la ligne, s'il y en avait une, soit au début du passage protégé, cela implique, dans le cas particulier, que l'infortuné piéton se trouvait précisément dans son angle mort. L'appelant a également admis que la configuration des lieux ne lui permettait pas de se focaliser exclusivement sur le passage pour piétons et que plusieurs éléments avaient pu détourner son attention durant quelques secondes, notamment l'étroitesse de la chaussée, qui l'amenait à vérifier fréquemment à droite et à gauche que sa remorque soit bien alignée, et sa méconnaissance des rues de Genève, qui l'incitait à consulter régulièrement son GPS. L'appelant ne pouvait par conséquent ignorer l'éventualité qu'un piéton ait échappé à sa vue et se soit trouvé, au moment où les véhicules qui le précédaient démarraient, sur le passage devant sa calandre, invisible pour lui. L'appelant devait d'autant plus compter avec la survenance d'un piéton sur le passage lui étant réservé que la file de voitures était immobilisée à la hauteur d'un arrêt de transports publics et qu'un tram s'en approchait. Dans ces conditions, c'est à tort que l'appelant estime avoir fait preuve de toute la diligence et la prudence que l'on pouvait attendre de lui. Il lui appartenait en effet soit de s'immobiliser à une distance suffisante du passage protégé pour avoir ce dernier dans son angle de vue, soit de patienter un laps de temps suffisant, malgré le redémarrage du véhicule le précédant, pour qu'un piéton éventuellement engagé sur le passage dans son angle mort, ait fini de traverser. Le cas diffère en cela de celui jugé par la Chambre de céans le 28 novembre 2019 ( AARP/416/2019 ), dans lequel le chauffeur d'un camion, arrêté dans une file à un feu, avait, en redémarrant, heurté une piétonne qui se trouvait dans son angle mort. Celle-ci traversait en effet la chaussée hors de tout passage protégé, de sorte que l'on ne pouvait reprocher au chauffeur un manque d'attention coupable. L'appelant reproche également à tort au premier juge d'avoir écarté l'éventualité d'une rupture du lien de causalité imputable à C______. La plupart des gens ne sont en effet pas conscients de l'existence des angles morts des véhicules, a fortiori de ceux d'un camion. Il n'est par ailleurs ni exceptionnel ni extraordinaire que des piétons empruntent la chaussée dès que les voitures s'arrêtent, sans nécessairement tenter de nouer un contact visuel avec leurs conducteurs. Ce n'est pour le surplus pas sans raison que la loi impose à ceux-ci de prêter une attention toute particulière aux usagers les plus vulnérables, tels les enfants, les infirmes ou les personnes âgées, susceptibles plus que tout autre de comportements imprévisibles, entre autres de chutes. Une imprudence de la victime, voire une chute due à une faiblesse physique, même si elles devaient être admises, ne revêtiraient donc pas, dans le déroulement de l'accident, une importance telle qu'elles s'imposeraient comme la cause la plus probable et la plus immédiate de son décès, reléguant à l'arrière-plan la violation des règles de prudence par l'appelant. Ce dernier a, partant, à juste titre été reconnu coupable d'homicide par négligence. Le jugement de première instance sera dès lors confirmé sur ce point.</w:t>
      </w:r>
    </w:p>
    <w:p>
      <w:r>
        <w:rPr>
          <w:b/>
        </w:rPr>
        <w:t>E. 3</w:t>
      </w:r>
    </w:p>
    <w:p>
      <w:r>
        <w:t>2. 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Dans les cas où la loi prévoit des sanctions alternatives et équivalentes en termes de compensation de la dette, il convient, en règle générale, de choisir celles qui interfèrent moins fortement avec la liberté personnelle de la personne concernée ou qui la touchent moins gravement (ATF 134 IV 82 consid. 4.1 p. 1). Conformément au principe de la proportionnalité, il y a ainsi lieu d'accorder en principe la priorité à la peine pécuniaire, qui, en tant qu'elle porte atteinte au patrimoine de l'auteur, constitue une sanction moins lourde qu'une peine privative de liberté (ATF 135 IV 113 consid. 2.6). 3.3.1. L'art. 2 CP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 lex mitior ). La détermination du droit le plus favorable s'effectue par une comparaison concrète de la situation de l'auteur, suivant qu'il est jugé à l'aune de l'ancien ou du nouveau droit (ATF 135 IV 113 consid. 2.2). 3.3.2. L'art. 34 al. 1 CP en vigueur au moment des faits prévoyait que, sauf disposition contraire de la loi, la peine pécuniaire ne pouvait excéder 360 jours-amende. Le juge devait en fixer le montant selon la situation personnelle et économique de l'auteur au moment du jugement, notamment en tenant compte de son revenu et de sa fortune, de son mode de vie, de ses obligations d'assistance, en particulier familiales, et du minimum vital (al. 2). Depuis le 1 er janvier 2018, le plafond prévu par l'art. 34 al. 1 CP a été diminué à 180 jours-amende, les principes régissant la fixation de leur montant étant demeurés inchangés.</w:t>
      </w:r>
    </w:p>
    <w:p>
      <w:r>
        <w:rPr>
          <w:b/>
        </w:rPr>
        <w:t>E. 3.1</w:t>
      </w:r>
    </w:p>
    <w:p>
      <w:r>
        <w:t>L'art. 117 CP punit l'homicide par négligence d'une peine privative de liberté de trois ans au plus ou d'une peine pécuniaire.</w:t>
      </w:r>
    </w:p>
    <w:p>
      <w:r>
        <w:rPr>
          <w:b/>
        </w:rPr>
        <w:t>E. 3.4</w:t>
      </w:r>
    </w:p>
    <w:p>
      <w:r>
        <w:t>Conformément à l'art. 42 al. 1 CP, le juge suspend en règle générale l'exécution d'une peine pécuniaire ou d'une peine privative de liberté de deux ans au plus lorsqu'une peine ferme ne paraît pas nécessaire pour détourner l'auteur d'autres crimes ou délits. S'il suspend totalement ou partiellement l'exécution d'une peine, il impartit au condamné un délai d'épreuve de deux à cinq ans (art. 44 al. 1 CP).</w:t>
      </w:r>
    </w:p>
    <w:p>
      <w:r>
        <w:rPr>
          <w:b/>
        </w:rPr>
        <w:t>E. 3.5</w:t>
      </w:r>
    </w:p>
    <w:p>
      <w:r>
        <w:t>Le premier juge a justifié la peine prononcée en expliquant que, vu la limite de 180 jours-amende fixée par le nouvel art. 34 al. 1 CP, seule une peine privative de liberté était envisageable en l'espèce, compte tenu de l'ensemble des circonstances. L'ancien droit, lequel permettait de prononcer une peine pécuniaire jusqu'à 360 jours-amende, était par conséquent plus favorable. L'appelant ne remet pas en cause, dans son principe, le prononcé d'une telle peine et la Chambre de céans a eu l'occasion de confirmer que dans un tel cas, l'ancien droit était plus favorable (cf. AARP/326/2019 du 25 septembre 2019), de sorte que le genre de peine doit être confirmé. La faute de l'appelant est importante, au vu des circonstances de l'accident et du bien juridique lésé. L'attention que l'on pouvait attendre de lui était en effet d'autant plus grande qu'il a un statut de chauffeur professionnel et conduisait un véhicule dont la taille et le poids ne pouvaient qu'occasionner des dommages importants en cas d'accident. Sa collaboration à l'enquête doit être tenue pour moyenne, étant relevé qu'il a tenté de minimiser sa propre responsabilité en imputant la cause de l'accident au mauvais état de santé de C______ plutôt qu'à une violation des règles de prudence. Le TP a néanmoins à raison pris en compte la sincérité de ses regrets et le fait qu'il avait été moralement atteint par l'accident. Il y a également lieu de prendre en considération le fait que la violation commise ne s'inscrit pas dans la caractéristique d'un comportement globalement imprudent, les certificats produits, décrivant une personne honnête, responsable et dévouée à son prochain, infirmant une telle appréciation. Le premier juge n'a pas exposé les raisons qui l'incitaient à infliger le nombre de jours-amende le plus élevé prévu par la loi. Au regard des peines prononcées dans des cas similaires ( JTDP/1038/2009 du 1 er septembre 2009), voire dans des dossiers où la faute de l'auteur était accrue ( AARP/296/2016 du 30 juin 2016 ; AARP/326/2019 du 25 septembre 2019), la CPAR estime que la quotité de 360 est excessive. Le nombre de jours-amende sera par conséquent diminué à 240 pour tenir compte de l'ensemble des éléments susmentionnés. Le montant du jour-amende, fixé à CHF 30.-, au demeurant non remis en cause par l'appelant, est approprié à sa situation personnelle et financière. Le principe du sursis, dont les conditions sont réalisées, lui est acquis. Le jugement entrepris sera modifié en conséquence sur la seule quotité de la peine.</w:t>
      </w:r>
    </w:p>
    <w:p>
      <w:r>
        <w:rPr>
          <w:b/>
        </w:rPr>
        <w:t>E. 4.1</w:t>
      </w:r>
    </w:p>
    <w:p>
      <w:r>
        <w:t>L'appelant, qui n'obtient que partiellement gain de cause, supportera les trois quarts des frais de la procédure d'appel envers l'État, comprenant dans leur totalité un émolument de CHF 1'500.- (art. 428 al. 1 CPP et 14 let. e du règlement fixant le tarif des frais en matière pénale du 22 décembre 2010 [RTFMP - RS/GE E 4 10.03]), le solde étant laissé à la charge de l'État. Sa culpabilité ayant été confirmée, la répartition des frais de première instance ne sera pas modifiée.</w:t>
      </w:r>
    </w:p>
    <w:p>
      <w:r>
        <w:rPr>
          <w:b/>
        </w:rPr>
        <w:t>E. 4.2</w:t>
      </w:r>
    </w:p>
    <w:p>
      <w:r>
        <w:t>Pour le même motif, l'appelant sera débouté de ses conclusions en indemnisation (art. 429 CPP).</w:t>
      </w:r>
    </w:p>
    <w:p>
      <w:r>
        <w:rPr>
          <w:b/>
        </w:rPr>
        <w:t>E. 5</w:t>
      </w:r>
    </w:p>
    <w:p>
      <w:r>
        <w:t>5.1.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de CHF 150.- pour le collaborateur (let. b) et CHF 200.- pour le chef d'étude (let. c), débours de l'étude inclus.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Par ailleurs, les recherches juridiques, sauf questions particulièrement pointues, ne sont pas indemnisées, l'État ne devant pas assumer la charge financière de la formation continue de l'avocat breveté ( AARP/147/2016 du 17 mars 2016 consid. 7.3 ; AARP/302/2013 du 14 juin 2013 ; AARP/267/2013 du 7 juin 2013), la connaissance de la procédure pénale en vigueur faisant pour le surplus partie des compétences pouvant être attendues de tout avocat (décision de la Cour des plaintes du Tribunal pénal fédéral BB.2013.98 du 20 septembre 2013 consid. 4.2).</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entretiens téléphoniques et la lecture de communications, pièces et décisions, de même que les démarches diverses, telles la rédaction d'actes procéduraux simples, courriers ou notes, ne nécessitant pas ou peu de motivation ou autre investissement particulier en termes de travail juridique, notamment l'annonce et la déclaration d'appel (arrêt du Tribunal fédéral 6B_838/2015 du 25 juillet 2016 consid. 3.5.2 ; voir aussi les décisions de la Cour des plaintes du Tribunal pénal fédéral BB.2016.34 du 21 octobre 2016 consid. 4.1 et 4.2 et BB.2015.85 du 12 avril 2016 consid. 3.5.2 et 3.5.3 ; AARP/184/2016 du 28 avril 2016 consid. 5.2.3.2 et 5.3.1 ; AARP/149/2016 du 20 avril 2016 consid. 5.3 et 5.4 ; AARP/146/2013 du 4 avril 2013). Des exceptions demeurent possibles, charge à l'avocat de justifier l'ampleur d'opérations dont la couverture ne serait pas assurée par le forfait.</w:t>
      </w:r>
    </w:p>
    <w:p>
      <w:r>
        <w:rPr>
          <w:b/>
        </w:rPr>
        <w:t>E. 5.3</w:t>
      </w:r>
    </w:p>
    <w:p>
      <w:r>
        <w:t>. En l'occurrence, la note de frais produite sera réduite de 35 minutes, la rédaction de l'annonce et de la déclaration d'appel étant inclue dans le forfait. Trois heures d'étude de dossier - supposé connu puisque suivi dès le début par l'avocate de l'appelant - sont excessives au vu de sa taille et de sa difficulté et seront ainsi ramenées à une heure. Le temps consacré aux recherches juridiques (45 minutes) sera également écarté pour le même motif, la problématique étant connue du défenseur d'office. Compte tenu de l'ampleur de l'activité déployée depuis le début de la procédure, il convient enfin d'appliquer le forfait de 10% et non de 20%. En conclusion, l'indemnité sera arrêtée à CHF 3'179.-, correspondant à 13h25 d'activité au tarif de CHF 200.-/heure (CHF 2'683.35) plus la majoration forfaitaire de 10 % (CHF 268.35), l'équivalent de la TVA au taux de 7,7% en sus (CHF 227.30).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