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P/5152/2019 vom 5. August 2019</w:t>
      </w:r>
    </w:p>
    <w:p>
      <w:r>
        <w:t>GE Cour de justice, 2019-08-05, FR</w:t>
      </w:r>
    </w:p>
    <w:p>
      <w:r>
        <w:rPr>
          <w:b/>
        </w:rPr>
        <w:t xml:space="preserve">Quelle: </w:t>
      </w:r>
      <w:r>
        <w:t>https://mcp.opencaselaw.ch/entscheid/ge_gerichte_P_5152_2019</w:t>
      </w:r>
    </w:p>
    <w:p>
      <w:r>
        <w:t>FR: GE_GERICHTE P/5152/2019 du 5 août 2019</w:t>
      </w:r>
    </w:p>
    <w:p>
      <w:r>
        <w:t>IT: GE_GERICHTE P/5152/2019 del 5 agosto 2019</w:t>
      </w:r>
    </w:p>
    <w:p>
      <w:pPr>
        <w:pStyle w:val="Heading2"/>
      </w:pPr>
      <w:r>
        <w:t>Regeste</w:t>
      </w:r>
    </w:p>
    <w:p>
      <w:r>
        <w:t>OPPOSITION TARDIVE;PRINCIPE DE LA BONNE FOI;AVOCAT;POLICE | CPP.356; Cst.5; CPP.3</w:t>
      </w:r>
    </w:p>
    <w:p>
      <w:pPr>
        <w:pStyle w:val="Heading2"/>
      </w:pPr>
      <w:r>
        <w:t>Erwägungen</w:t>
      </w:r>
    </w:p>
    <w:p>
      <w:r>
        <w:rPr>
          <w:b/>
        </w:rPr>
        <w:t>E. 1</w:t>
      </w:r>
    </w:p>
    <w:p>
      <w:r>
        <w:t>Le recours est recevable pour avoir été déposé selon la forme et dans le délai prescrits (art. 91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 143 IV 117 consid. 3.2 p. 121). Selon ce principe constitutionnel, toute autorité doit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oeuvre du droit matériel ou entrave de manière inadmissible l'accès aux tribunaux (Y. JEANNERET / A. KUHN, Précis de procédure pénale , Berne 2018, 2ème éd., n. 4004, p. 40).</w:t>
      </w:r>
    </w:p>
    <w:p>
      <w:r>
        <w:rPr>
          <w:b/>
        </w:rPr>
        <w:t>E. 2.2</w:t>
      </w:r>
    </w:p>
    <w:p>
      <w:r>
        <w:t>En l'espèce, force est de contaster que les affirmations du recourant ne sont pas confirmées par le dossier. Le prévenu a pu prendre connaissance du formulaire, en anglais, de ses droits et obligations à teneur duquel il lui était mentionné qu'il pouvait faire appel à un avocat. Or, il y a renoncé et a répondu aux questions posées, sans jamais faire référence à son conseil. Il a refusé de signer les documents sans donner d'explications et, a posteriori, soutient que ce refus était motivé par le fait qu'il voulait être assister d'un avocat. On ne voit pas pourquoi la police n'aurait pas pris note de la volonté du recourant d'être assisté par son conseil, et le prévenu n'en donne pas de raison, alors même qu'elle est fréquemment sollicitée en ce sens par les personnes qu'elle doit entendre. Rien ne permet de penser que le Procureur aurait soutenu que le recourant n'avait rien à se reprocher et l'aurait ainsi induit en erreur. Si tel avait été le cas, on ne comprend pas, à suivre le recourant, pourquoi il n'aurait pas, alors, signé l'ordonnance pénale. Le grief est rejeté.</w:t>
      </w:r>
    </w:p>
    <w:p>
      <w:r>
        <w:rPr>
          <w:b/>
        </w:rPr>
        <w:t>E. 3.1</w:t>
      </w:r>
    </w:p>
    <w:p>
      <w:r>
        <w:t>Le tribunal de première instance statue sur la validité de l'ordonnance pénale et de l'opposition (art. 356 al. 2 CPP). Si l'ordonnance pénale n'est pas valable, le tribunal l'annule et renvoie le cas au ministère public en vue d'une nouvelle procédure préliminaire (art. 356 al. 5 CPP). Le contenu de l'ordonnance pénale est déterminé par sa double fonction d'acte d'accusation en cas d'opposition (art. 356 al. 1 CPP) et de jugement entré en force à défaut d'opposition (art. 354 al. 3 CPP). La description des faits imputés au prévenu (art. 353 al. 1 let. c CPP) doit notamment satisfaire aux exigences du principe de l'accusation au sens de l'art. 325 al. 1 let. f CPP (arrêt du Tribunal fédéral 6B 1260/2016 du 7 août 2017 consid. 3.1)</w:t>
      </w:r>
    </w:p>
    <w:p>
      <w:r>
        <w:rPr>
          <w:b/>
        </w:rPr>
        <w:t>E. 3.2</w:t>
      </w:r>
    </w:p>
    <w:p>
      <w:r>
        <w:t>À teneur de l'art. 354 al. 1 CPP, le délai pour former opposition contre une ordonnance pénale est de 10 jours. Les délais fixés en jour commencent à courir le jour qui suit leur notification ou l'évènement qui les déclenche (art. 90 al. 1 CPP).</w:t>
      </w:r>
    </w:p>
    <w:p>
      <w:r>
        <w:rPr>
          <w:b/>
        </w:rPr>
        <w:t>E. 3.3</w:t>
      </w:r>
    </w:p>
    <w:p>
      <w:r>
        <w:t>En l'espèce, l'ordonnance pénale est valable en ce qu'elle est conforme aux art. 352 et 353 CPP. Le recourant ne conteste pas avoir reçu notification de l'ordonnance pénale le 8 mars 2019. Rien à la procédure ne laisse penser qu'il aurait voulu qu'un avocat lui soit désigné, à la suite de cette notification, au sens de l'arrêt de la Chambre de céans cité ( DCPR/128/2011 ), comme on l'a vu supra. Ainsi, ce n'est que par courrier du 19 mars 2019, que le recourant a formé opposition soit tardivement. La question de l'exploitation des pièces ne se pose dès lors pas, le Tribunal de police n'ayant pas ouvert les débats ni statué sur le fond. C'est à juste titre que le Tribunal de police a constaté l'irrecevabilité, pour cause de tardiveté. Il appartiendra au Ministère public de statuer sur la demande de restitution de délai sollicitée le 19 mars 2019.</w:t>
      </w:r>
    </w:p>
    <w:p>
      <w:r>
        <w:rPr>
          <w:b/>
        </w:rPr>
        <w:t>E. 4</w:t>
      </w:r>
    </w:p>
    <w:p>
      <w:r>
        <w:t>Justifiée, l'ordonnance querellée sera donc confirmée.</w:t>
      </w:r>
    </w:p>
    <w:p>
      <w:r>
        <w:rPr>
          <w:b/>
        </w:rPr>
        <w:t>E. 5</w:t>
      </w:r>
    </w:p>
    <w:p>
      <w:r>
        <w:t>Le recourant, qui succombe, supportera les frais envers l'État, fixés en totalité CHF 900.-, y compris un émolument de procédure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