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P/5111/2007 vom 8. Oktober 2009</w:t>
      </w:r>
    </w:p>
    <w:p>
      <w:r>
        <w:t>GE Cour de justice, 2009-10-08, FR</w:t>
      </w:r>
    </w:p>
    <w:p>
      <w:r>
        <w:rPr>
          <w:b/>
        </w:rPr>
        <w:t xml:space="preserve">Quelle: </w:t>
      </w:r>
      <w:r>
        <w:t>https://mcp.opencaselaw.ch/entscheid/ge_gerichte_P_5111_2007</w:t>
      </w:r>
    </w:p>
    <w:p>
      <w:r>
        <w:t>FR: GE_GERICHTE P/5111/2007 du 8 octobre 2009</w:t>
      </w:r>
    </w:p>
    <w:p>
      <w:r>
        <w:t>IT: GE_GERICHTE P/5111/2007 del 8 ottobre 2009</w:t>
      </w:r>
    </w:p>
    <w:p>
      <w:pPr>
        <w:pStyle w:val="Heading2"/>
      </w:pPr>
      <w:r>
        <w:t>Regeste</w:t>
      </w:r>
    </w:p>
    <w:p>
      <w:r>
        <w:t>; INTÉGRITÉ SEXUELLE ; ENFANT | CP.187.1</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L'appelant conclut à son acquittement au bénéfice du doute. 2.1.1 L'art. 187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(B. CORBOZ, Les infractions en droit suisse , vol. I, Berne 2002, n. 4 ad art. 187; J. REHBERG/ N. SCHMID/ A. DONATSCH, Strafrecht III, 8è éd., Genève Bâle Zurich 2003, p. 404; G. JENNY, Kommentar zum schweizerisches Strafgesetzbuch , vol. 4, Berne 1997, p. 24, n. 6 ad art. 187). Par acte d'ordre sexuel, il faut entendre une activité corporelle sur soi-même ou sur autrui qui tend à l'excitation ou à la jouissance sexuelle de l'un des participants au moins (B. CORBOZ, op. cit., n. 6 ad art. 187; J. REHBERG/ N. SCHMID/ A. DONATSCH, op. cit., p. 406).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(B. CORBOZ, op. cit., n. 7 ad art. 187). Selon la doctrine, un baiser sur la bouche ou une tape sur les fesses sont des actes insignifiants (B. CORBOZ, op. cit., n. 10 ad art. 187; S TRECHSEL, Schweizerisches Strafgesetzbuch, Kurzkommentar 2e éd., Zurich 1997, n. 6 ad art. 187). En revanche, un baiser lingual (B. CORBOZ, op. cit., p. 721 n. 11 ad art. 187; S. TRECHSEL, op. cit., loc. cit.) ou des baisers insistants sur la bouche (ATF 125 IV 58 consid. 3b p. 63) revêtent indiscutablement un caractère sexuel. Il en va de même d'une caresse insistante du sexe, des fesses ou des seins, même par-dessus les habits (S. TRECHSEL, op. cit., loc. cit.). Lorsque la victime est un enfant, la pratique tend à admettre l'existence d'un acte d'ordre sexuel, même pour des attouchements furtifs par-dessus les habits, qui entraîneraient plutôt, entre adultes, l'application de l'art. 198 al. 2 CP (B. CORBOZ, op. cit., n. 7 ad art. 187). 2.1.2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consid. 5 p. 58; ATF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ainsi que les caractéristiques du témoin, son vécu, son histoire personnelle notamment, ainsi que divers éléments extérieurs. Lors de l'expertise de la validité d'un témoignage, il faut toujours avoir à l'esprit que la déclaration peut ne pas être fondée sur la réalité (ATF 128 I 81 consid. 2 p. 85 s.; arrêt du Tribunal fédéral 6B_79/2009 du 9 juillet 2009 consid. 3.1.2).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p. 57 s.; ATF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l'art. 9 Cst. (ATF 118 Ia 144 consid. 1c p. 146). La nécessité d'une nouvelle expertise dépend ainsi d'une appréciation de celle versée au dossier et des autres éléments de preuves.</w:t>
      </w:r>
    </w:p>
    <w:p>
      <w:r>
        <w:rPr>
          <w:b/>
        </w:rPr>
        <w:t>E. 2.2</w:t>
      </w:r>
    </w:p>
    <w:p>
      <w:r>
        <w:t>Il est établi que l'appelant et son épouse gardaient Z______ une à deux fois par semaine, soit les jeudis soirs, ainsi que certains samedis et qu'il est arrivé à ces occasions que l'appelant se retrouve seul avec ses deux filles et son neveu, tandis que son épouse s'absentait. Cet élément, conforme aux déclarations de Z______, atteste que l'appelant avait la possibilité matérielle de commettre les attouchements dont il a été accusé, qui sont constitutifs d'actes d'ordre sexuel avec un mineur, conformément à la jurisprudence rappelée ci-dessus. L'appelant avait par ailleurs manifestement, à tout le moins à l'époque des faits, des pulsions et attirances sexuelles ambigües, sans doute à la faveur d'une période d'abstinence sexuelle, ainsi que l'atteste la recherche de sites pornographiques effectuée au moyen du mot-clé "pédo", dont l'utilisation ne saurait avoir été fortuite, ni destinée à se procurer des images de femmes adultes, eu égard à la signification de cette abréviation. Cela étant, les déclarations de Z______, qui sont demeurées constantes, ont été jugées "vraisemblables" et "plutôt crédibles" par les spécialistes qui l'ont entendu. Tant la Dresse A______ que l'expert ont relevé la présence de plusieurs critères, certes en nombre limité, mais estimé suffisant, plaidant en faveur de la crédibilité des déclarations de Z______, dont notamment la spontanéité de son discours, par ailleurs détaillé, cohérent, logique, visualisable et orienté dans l'espace et le temps. A chaque fois, le récit de Z______ a été accompagné d'une décharge émotionnelle, sous forme de pleurs lors du premier entretien, auxquels se sont ajoutés des bégaiements et une peine à reprendre son souffle lors de la seconde séance avec l'expert, ce qui plaide encore, aux dires de ce dernier, en faveur de la crédibilité de ses déclarations. Outre le fait que Z______ n'apparaissait pas lui-même suggestible, l'expert a encore relevé l'absence de comportement suggestif de la partie civile, de conflit familial, et de psychopathologie de l'enfant, susceptibles d'aller de pair avec une distorsion de la réalité conduisant à une tendance à l'affabulation, à la mythomanie ou à une représentation fantasmatique des événements. La relation fusionnelle que Z______ entretenait avec sa mère n'affectait pas non plus les conclusions de l'expertise, à l'instar de "l'angoisse de séparation de l'enfance" dont il souffrait. Par ailleurs, les hypothèses évoquées par l'appelant en cours de procédure pour expliquer les accusations de Z______, ont également été analysées par l'expert, à l'exception de celle liée au lieu de travail de la partie civile, qui est manifestement fantaisiste. Dans ce contexte, l'expert a pris en compte la grande sensibilité de Z______, contrairement à ce que soutient l'appelant. Ces hypothèses cohérentes et sans lien avec une intention sexuelle n'ont toutefois pas modifié les conclusions du rapport quant à la crédibilité des déclarations de Z______. La Cour relève en outre que lors de chaque récit, Z______ a représenté physiquement la scène, soit en la mimant, soit encore en ayant recours à des figurines et à une peluche, décrivant dans ce dernier cas à l'expert la sensation de douleur physique qu'il avait éprouvée, celle-ci ayant été également rapportée par la partie civile dans sa plainte pénale immédiatement consécutive aux révélations de son fils, ce qui renforce encore la crédibilité de ces dernières, dès lors que la sensation de douleur est demeurée constante malgré l'écoulement du temps. Le dossier ne contient ainsi aucun élément propre à diminuer la crédibilité des déclarations de Z______, ni à remettre en question la valeur probante de l'expertise, qui est complète, cohérente et exempte de contradictions, si bien que la Cour ne saurait s'en écarter. Le jugement du Tribunal de police, en tant qu'il reconnaît l'appelant coupable d'acte d'ordre sexuel avec des enfants (art. 187 CP), sera dès lors confirmé.</w:t>
      </w:r>
    </w:p>
    <w:p>
      <w:r>
        <w:rPr>
          <w:b/>
        </w:rPr>
        <w:t>E. 3.1</w:t>
      </w:r>
    </w:p>
    <w:p>
      <w:r>
        <w:t>S'agissant de la peine infligée à l'appelant, la Cour précisera le jugement du Tribunal de police, dès lors que l'appelant a été condamné à une peine pécuniaire de 240 jours-amende, et non à une peine privative de liberté, comme mentionné par erreur. Cette peine, qui sera confirmée, tient compte de la gravité de la faute de l'appelant, qui n'a pas hésité à s'en prendre à l'intégrité physique et sexuelle de son neveu, âgé de seulement cinq et six ans, alors même qu'il en avait la garde et devait veiller sur lui, de ses mobiles égoïstes, sans doute liés à l'assouvissement d'une pulsion sexuelle malsaine, ainsi que de son absence de collaboration et de repentir (art. 47 CP). Le montant du jour-amende, arrêté à CHF 50.-, sera également confirmé, étant adéquat en regard des revenus, respectivement des charges de l'appelant (art. 34 CP). Celui-ci n'ayant aucun antécédent judiciaire, c'est à juste titre que les premiers juges l'ont mis au bénéfice du sursis (art. 42 al. 1 CP) et fixé le délai d'épreuve à 4 ans (art. 44 al. 1 CP), soit à une durée relativement longue, justifiée par les contacts quotidiens de l'appelant avec de jeunes enfants, dont ses trois filles, ce qui devrait être de nature à le dissuader de récidiver.</w:t>
      </w:r>
    </w:p>
    <w:p>
      <w:r>
        <w:rPr>
          <w:b/>
        </w:rPr>
        <w:t>E. 3.2</w:t>
      </w:r>
    </w:p>
    <w:p>
      <w:r>
        <w:t>L'appelant ne contestant pour le surplus pas les montants alloués à la partie civile à titre de tort moral et d'indemnité pour les frais d'avocat, ils seront intégralement confirmés.</w:t>
      </w:r>
    </w:p>
    <w:p>
      <w:r>
        <w:rPr>
          <w:b/>
        </w:rPr>
        <w:t>E. 4</w:t>
      </w:r>
    </w:p>
    <w:p>
      <w:r>
        <w:t>L'appelant, qui succombe, sera condamné aux frais de la procédure d'appel, qui comprendront un émolument de CHF 600.-, ainsi qu'aux dépens d'appel de la partie civile, comprenant une indemnité de CHF 800.- pour ses frais d'avocat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