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P/5088/2019 vom 22. Januar 2020</w:t>
      </w:r>
    </w:p>
    <w:p>
      <w:r>
        <w:t>GE Cour de justice, 2020-01-22, FR</w:t>
      </w:r>
    </w:p>
    <w:p>
      <w:r>
        <w:rPr>
          <w:b/>
        </w:rPr>
        <w:t xml:space="preserve">Quelle: </w:t>
      </w:r>
      <w:r>
        <w:t>https://mcp.opencaselaw.ch/entscheid/ge_gerichte_P_5088_2019</w:t>
      </w:r>
    </w:p>
    <w:p>
      <w:r>
        <w:t>FR: GE_GERICHTE P/5088/2019 du 22 janvier 2020</w:t>
      </w:r>
    </w:p>
    <w:p>
      <w:r>
        <w:t>IT: GE_GERICHTE P/5088/2019 del 22 gennaio 2020</w:t>
      </w:r>
    </w:p>
    <w:p>
      <w:pPr>
        <w:pStyle w:val="Heading2"/>
      </w:pPr>
      <w:r>
        <w:t>Regeste</w:t>
      </w:r>
    </w:p>
    <w:p>
      <w:r>
        <w:t>PRINCIPE DE L'ACCUSATION | LStup.19.al1.letb; LStup.19.al1.letc; LStup.19.al1.letd; LStup.19.al2.leta</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La maxime d'accusation, consacrée par l'art. 9 CPP, découle également des art. 29 al. 2 de la Constitution fédérale de la Confédération suisse du 18 avril 1999 (Cst. - RS 101 ; droit d'être entendu), 32 al. 2 Cst. (droit d'être informé, dans les plus brefs délais et de manière détaillée, des accusations portées contre soi) et 6 par. 3 let. A de la Convention de sauvegarde des droits de l'homme et des libertés fondamentales du 4 novembre 1950 (CEDH - RS 0.101;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La fonction de délimitation doit permettre à la juridiction saisie de comprendre immédiatement et clairement quelles infractions peuvent être déduites de l'état de fait (Y. JEANNERET / A. KUHN / C. PIERRIER DEPEURSINGE ( éds ), Commentaire romand : Code de procédure pénale suisse , 2 ème édition, Bâle 2019, note 8 ad art. 325 CPP). La conformité de l'acte d'accusation aux exigences découlant de la maxime de l'accusation se mesure à l'aune des buts de délimitation et d'information. Si les deux objectifs sont atteints, l'acte d'accusation peut ainsi en principe être considéré comme conforme à cette maxime (Y. JEANNERET / A. KUHN / C. PIERRIER DEPEURSINGE ( éds ), op. cit ., note 11 ad art. 325 CPP). 2.1.2. Selon l'art. 325 al. 1 CPP, l'acte d'accusation doit contenir les faits qui, de l'avis du ministère public, correspondent à tous les éléments constitutifs de l'infraction reprochée au prévenu (ATF 143 IV 63 consid. 2.2 p. 65 ; arrêt du Tribunal fédéral 6B_461/2018 du 24 janvier 2019 consid. 5.1). Des imprécisions relatives au lieu ou à la date sont sans portée, dans la mesure où le prévenu ne peut avoir de doute sur le comportement qui lui est reproché (arrêt du Tribunal fédéral 6B_1185/2018 du 14 janvier 2019 consid. 2.1). Si une disposition légale comporte des circonstances aggravantes spéciales, l'acte d'accusation doit mentionner si l'une d'elles est réalisée et laquelle (arrêt du Tribunal fédéral 6B_657/2009 du 18 février 2010, consid. 2.1.). La doctrine précise que tous les faits qui constituent la circonstance aggravante sont à indiquer (Y. JEANNERET / A. KUHN / C. PIERRIER DEPEURSINGE ( éds ), op. cit ., note 34 ad art. 325 CPP).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2.2</w:t>
      </w:r>
    </w:p>
    <w:p>
      <w:r>
        <w:t>En l'espèce, l'acte d'accusation indique clairement et d'entrée de cause que l'appelant est renvoyé en jugement pour " infraction grave à la loi fédérale sur les stupéfiants ", concernant un trafic portant sur 4'823.41 grammes d'héroïne. Ce poids, qui a été retenu déjà au cours de l'instruction, tombe sans erreur possible sous le coup de l'aggravante de la quantité, ce que n'a manifestement pas ignoré l'appelant. L'absence d'indication du poids de drogue pure ou du taux de pureté dans l'acte d'accusation est à cet égard sans conséquence, compte tenu de la quantité en jeu et du conditionnement ne correspondant à l'évidence pas à de la drogue prête à la consommation. L'appelant a dès lors conservé la possibilité de se défendre efficacement, ce qu'il n'a d'ailleurs pas manqué de faire. Le but d'information de la maxime d'accusation a ainsi pleinement été respecté. S'agissant de la délimitation de l'objet du procès, l'aggravante de l'art. 19 al. 2 let. a LStup n'est effectivement pas formellement mentionnée et sous cet angle l'acte d'accusation est imparfait. Il n'en demeure pas moins que les faits qui constituent la circonstance aggravante sont décrits, en ce sens que 4'823.41 grammes d'héroïne ne pouvaient constituer qu'un cas grave, sauf à présenter un taux de pureté inférieur à 0.25%. Les premiers juges ont immédiatement et clairement saisi que l'infraction à déduire de l'état de fait était celle d'infraction grave basée sur la quantité, aucune autre aggravante n'étant au demeurant décrite. Ils ont en outre pris la précaution, certes après les plaidoiries de la défense, d'indiquer aux parties que les faits décrits seraient examinés sous l'angle de l'art. 19 al. 2 let. a LStup et offert aux parties la possibilité de compléter leurs intervention, ce qu'elles ont fait brièvement. En fin de compte, le jugement rendu ne l'a pas été sur un état de fait différent de celui décrit dans l'acte d'accusation, même si celui-ci ne fait mention ni du taux de pureté ni de la quantité de drogue pure, ni ne décrit la mise en danger spécifique de la santé propre à cette aggravante. Il découle de ce qui précède que les imperfections dont est entaché l'acte d'accusation soumis au tribunal ne sont pas suffisantes, compte tenu des faits décrits, à retenir que la maxime d'accusation aurait été violée, dans l'une ou l'autre de ses deux dimensions de délimitation et d'information, et qu'il soit nécessaire d'écarter pour cette raison l'aggravante de la quantité.</w:t>
      </w:r>
    </w:p>
    <w:p>
      <w:r>
        <w:rPr>
          <w:b/>
        </w:rPr>
        <w:t>E. 2.2.1</w:t>
      </w:r>
    </w:p>
    <w:p>
      <w:r>
        <w:t>Aux termes de l'art. 19 ch. 1 al. 1 LStup, est puni d'une peine privative de liberté de trois ans au plus ou d'une peine pécuniaire, celui qui, sans droit, possède, détient ou acquiert des stupéfiants (let. d). L'auteur de l'infraction est puni d'une peine privative de liberté d'un an au moins, cette sanction pouvant être cumulée avec une peine pécuniaire s'il sait ou ne peut ignorer que l'infraction peut directement ou indirectement mettre en danger la santé de nombreuses personnes (art. 19 al. 2 let. a LStup). En matière d'héroïne, la limite du cas grave est fixée à 12 grammes de drogue pure (ATF 119 IV 180 consid. 2; arrêt du Tribunal fédéral 6B_504/2019 du 29 juillet 2019, consid. 2.1). L'infraction est intentionnelle, le dol éventuel étant suffisant.</w:t>
      </w:r>
    </w:p>
    <w:p>
      <w:r>
        <w:rPr>
          <w:b/>
        </w:rPr>
        <w:t>E. 2.2.2</w:t>
      </w:r>
    </w:p>
    <w:p>
      <w:r>
        <w:t>En l'espèce, l'appelant ne conteste pas que les éléments constitutifs objectifs de l'infraction grave sont réalisés. Tout au plus plaide-il avoir ignoré le type, la quantité et le taux de pureté de la drogue réceptionnée. Ses dénégations ne sont pas crédibles. Il a eu connaissance, au moins approximativement, du poids de la drogue en s'en emparant, en vérifiant qu'elle était bien conditionnée en 20 paquets puis en cachant 18 d'entre eux dans un coussin. Ces manipulations lui ont également permis de comprendre qu'il s'agissait d'héroïne, à tout le moins de drogue dure, s'il ne le savait pas déjà. Le conditionnement en pucks ne laissait non plus aucun doute sur le fait qu'il ne s'agissait pas d'héroïne prête à la vente, soit de moindre pureté, mais bien de drogue destinée à être coupée par des semi-grossistes, la quantité remise à D______ prouvant qu'il ne prenait pas possession de cette drogue en tant que simple consommateur. L'appelant était rémunéré CHF 1'000.- pour garder l'héroïne pendant un mois, de sorte que celle-ci avait nécessairement une forte valeur. En fin de compte, l'appelant ne pouvait ignorer que la drogue reçue était de nature à mettre en danger la santé de nombreuses personnes. La culpabilité pour infraction à l'art. 19 al. 1 let. b, c et d et al. 2 let. a LStup sera dès lors confirmée et l'appel rejeté sur ce point également.</w:t>
      </w:r>
    </w:p>
    <w:p>
      <w:r>
        <w:rPr>
          <w:b/>
        </w:rPr>
        <w:t>E. 3</w:t>
      </w:r>
    </w:p>
    <w:p>
      <w:r>
        <w:t>3.1.1. L'art. 19 al. 1 LStup punit d'une peine privative de liberté de trois ans au plus ou d'une peine pécuniaire les comportements décrits aux let. a à g de cette même disposition. La peine privative de liberté est d'un an au moins, cette sanction pouvant être cumulée avec une peine pécuniaire, si l'aggravante de l'art. 19 al. 2 LStup est retenue.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3.1.3. En matière de trafic de stupéfiants, si la quantité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138 IV 100 consid. 3.2 p. 103).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(arrêt du Tribunal fédéral 6B_189/2017 du 7 décembre 2017 consid. 5.1 et les références).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6B_189/2017 du 7 décembre 2017 consid. 5.1 ; 6B_843/2014 du 7 avril 2015 consid. 1.1.1). Outre les éléments qui portent sur l'acte lui-même, le juge doit prendre en considération la situation personnelle du délinquant, à savoir sa vulnérabilité face à la peine, ses obligations familiales, sa situation professionnelle, les risques de récidive, etc.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w:t>
      </w:r>
    </w:p>
    <w:p>
      <w:r>
        <w:rPr>
          <w:b/>
        </w:rPr>
        <w:t>E. 3.2</w:t>
      </w:r>
    </w:p>
    <w:p>
      <w:r>
        <w:t>En l'espèce, la faute de l'appelant est lourde. La quantité de drogue concernée est très importante, même si le trafic reproché est resté purement local. La période pénale est relativement courte mais comme relevé par l'appelant, c'est son arrestation qui a mis fin à ses activités. Son rôle a été celui d'un intermédiaire indispensable entre le commanditaire, dont il avait la confiance au vu de la valeur de la drogue confiée, et le semi-grossiste. Il était rémunéré essentiellement pour garder la drogue, soit pour des risques moindres que ceux encourus par un vendeur de rue. Son mobile a nécessairement été celui de l'appât du gain, donc égoïste, lui-même et son épouse disposant évidemment d'autres moyens de faire face à leurs obligations financières que de recourir à la commission d'infractions. Sa collaboration a effectivement été bonne dès sa première audition, même si les constatations de police laissaient peu d'alternatives. Sa situation personnelle était plutôt favorable, en ce sens qu'il disposait d'une autorisation de séjour lui permettant de travailler légalement, même s'il se trouvait momentanément au chômage et n'avait apparemment pas encore encaissé d'indemnités au moment de la réception de la livraison. Sa prise de conscience semble plutôt bonne, l'appelant ayant présenté des excuses à plusieurs reprises. Il a deux antécédents dont un spécifique, qui ne l'ont pas dissuadé de commettre une nouvelle infraction de même type et de gravité bien plus importante. Il sera cependant retenu que la période pénale est relativement courte et que l'activité déployée a consisté en une réception et une livraison. Au vu de tous ces éléments, une peine privative de liberté de quatre ans est adéquate pour sanctionner l'infraction commise. L'appel sera partiellement admis et le jugement entrepris modifié sur ce point.</w:t>
      </w:r>
    </w:p>
    <w:p>
      <w:r>
        <w:rPr>
          <w:b/>
        </w:rPr>
        <w:t>E. 4</w:t>
      </w:r>
    </w:p>
    <w:p>
      <w:r>
        <w:t>4.1. En vertu de l'art. 66a al. 1 CP, le juge expulse de Suisse pour une durée de cinq à quinze ans l'étranger condamné pour infraction à l'art. 19 al. 2 LStup (let. o), quelle que soit la quotité de la peine prononcée à son encontre. Il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L'art. 66a al. 2 CP définit une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Le juge doit faire usage du pouvoir d'appréciation qui lui est conféré par une norme potestative dans le respect des principes constitutionnels, en particulier du principe de proportionnalité (ATF 144 IV 332 consid. 3.3). Par ailleurs, la Cour européenne des droits de l'Homme et le Tribunal fédéral estiment que, compte tenu des ravages de la drogue dans la population, les autorités sont fondées à faire preuve d'une grande fermeté à l'encontre de ceux qui contribuent à la propagation de ce fléau (cf. arrêts CourEDH K.M. c. Suisse du 2 juin 2015 [requête no 6009/10] § 55 ; Dalia c. France du 19 février 1998, Recueil CourEDH 1998-I 76 § 54 ; cf. aussi arrêt 6B_1192/2018 du 23 janvier 2019 consid. 2.2.3), ce qui rend les intérêts présidant à l'expulsion de l'intéressé importants (cf. arrêt du Tribunal fédéral 6B_1329/2018 du 14 février 2019 consid. 2.4.2).</w:t>
      </w:r>
    </w:p>
    <w:p>
      <w:r>
        <w:rPr>
          <w:b/>
        </w:rPr>
        <w:t>E. 4.2</w:t>
      </w:r>
    </w:p>
    <w:p>
      <w:r>
        <w:t>La condamnation de l'appelant pour infraction grave à la LStup étant confirmée, son expulsion le sera aussi en application de l'art. 66a al. 1 let. o CP. La situation personnelle de l'appelant ne permet en effet nullement de retenir qu'il remplirait les conditions de l'art. 66a al. 2 CP. En particulier, l'intensité de ses liens avec son épouse, avec laquelle il n'est pas parti en vacances lors des dernières fêtes de fin d'année, ne semble pas devoir s'opposer à son expulsion, ni la durée limitée de son séjour légal en Suisse. Ses liens avec le Kosovo restent importants quoi qu'il en dise puisque ses quatre enfants et ses parents y vivent. Enfin, la gravité de l'infraction commise ne saurait permettre une pesée des intérêts en faveur de l'exception au prononcé de son expulsion. La durée de l'expulsion prononcée en première instance, arrêtée au minimum légal, n'est pas plus critiquable.</w:t>
      </w:r>
    </w:p>
    <w:p>
      <w:r>
        <w:rPr>
          <w:b/>
        </w:rPr>
        <w:t>E. 5</w:t>
      </w:r>
    </w:p>
    <w:p>
      <w:r>
        <w:t>L'appelant étant désormais en exécution anticipée de peine, il n'y a pas lieu de confirmer son maintien en détention pour des motifs de sûreté.</w:t>
      </w:r>
    </w:p>
    <w:p>
      <w:r>
        <w:rPr>
          <w:b/>
        </w:rPr>
        <w:t>E. 6</w:t>
      </w:r>
    </w:p>
    <w:p>
      <w:r>
        <w:t>L'appelant, qui succombe largement, supportera les 4/5 des frais de la procédure envers l'État, comprenant un émolument de CHF 1'500.- (art. 428 CPP).</w:t>
      </w:r>
    </w:p>
    <w:p>
      <w:r>
        <w:rPr>
          <w:b/>
        </w:rPr>
        <w:t>E. 7</w:t>
      </w:r>
    </w:p>
    <w:p>
      <w:r>
        <w:t>7.1.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7.2</w:t>
      </w:r>
    </w:p>
    <w:p>
      <w:r>
        <w:t>En l'occurrence, l'état de frais produit par le conseil de l'appelant paraît adéquat et conforme aux dispositions et principes qui précèdent, de sorte qu'il sera admis sans en reprendre le détail. En conclusion, l'indemnité sera arrêtée à CHF 2'760.- correspondant à 11 heures d'activité au tarif de CHF 200.-/heure, une vacation à hauteur de CHF 100.-, plus la majoration forfaitaire de 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