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P/5085/2017 vom 10. April 2018</w:t>
      </w:r>
    </w:p>
    <w:p>
      <w:r>
        <w:t>GE Cour de justice, 2018-04-10, FR</w:t>
      </w:r>
    </w:p>
    <w:p>
      <w:r>
        <w:rPr>
          <w:b/>
        </w:rPr>
        <w:t xml:space="preserve">Quelle: </w:t>
      </w:r>
      <w:r>
        <w:t>https://mcp.opencaselaw.ch/entscheid/ge_gerichte_P_5085_2017</w:t>
      </w:r>
    </w:p>
    <w:p>
      <w:r>
        <w:t>FR: GE_GERICHTE P/5085/2017 du 10 avril 2018</w:t>
      </w:r>
    </w:p>
    <w:p>
      <w:r>
        <w:t>IT: GE_GERICHTE P/5085/2017 del 10 aprile 2018</w:t>
      </w:r>
    </w:p>
    <w:p>
      <w:pPr>
        <w:pStyle w:val="Heading2"/>
      </w:pPr>
      <w:r>
        <w:t>Regeste</w:t>
      </w:r>
    </w:p>
    <w:p>
      <w:r>
        <w:t>GESTION DÉLOYALE ; DOMMAGE ; CALCUL ; LUCRUM CESSANS | CPP.319; CP.158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d'avoir insuffisamment motivé l'ordonnance querellée.![endif]&gt;![if&gt;</w:t>
      </w:r>
    </w:p>
    <w:p>
      <w:r>
        <w:rPr>
          <w:b/>
        </w:rPr>
        <w:t>E. 2.1</w:t>
      </w:r>
    </w:p>
    <w:p>
      <w:r>
        <w:t>À teneur de l'art. 80 CPP, les prononcés des autorités pénales, qu'ils revêtent la forme de jugements, de décisions ou d'ordonnances (al. 1), doivent être rendus par écrit et motivés (al. 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 au moins brièvement, les motifs qui l'ont guidé et sur lesquels il a fondé sa décision, de manière à ce que l'intéressé puisse se rendre compte de la portée de celle-ci et l'attaquer en connaissance de cause (ATF 143 IV 40 consid. 3.4.3 p. 47 et les références = JdT 2017 IV p. 243 ; ATF 142 I 135 consid. 2.1 p. 145 ; arrêts du Tribunal fédéral 6B_246/2017 du 28 décembre 2017 consid. 4.1 ; 6B_726/2017 du 20 octobre 2017 consid. 4.1.1).</w:t>
      </w:r>
    </w:p>
    <w:p>
      <w:r>
        <w:rPr>
          <w:b/>
        </w:rPr>
        <w:t>E. 2.2</w:t>
      </w:r>
    </w:p>
    <w:p>
      <w:r>
        <w:t>En l'espèce, on se serait certes attendus, dans l'ordonnance querellée, à une définition de la notion du dommage en matière de gestion déloyale, que l'autorité précédente retient comme non réalisé. Ce nonobstant, la décision querellée ne viole pas les dispositions légales sus-citées, puisque, brièvement motivée, elle énonce les raisons pour lesquelles le Ministère public n'entend poursuivre ni l'instruction ni les prévenus. Il s'ensuit que la recourante a pu non seulement comprendre la portée de l'ordonnance querellée, mais l'attaquer en toute connaissance de cause. Le grief est, partant, infondé.</w:t>
      </w:r>
    </w:p>
    <w:p>
      <w:r>
        <w:rPr>
          <w:b/>
        </w:rPr>
        <w:t>E. 3</w:t>
      </w:r>
    </w:p>
    <w:p>
      <w:r>
        <w:t>La recourante reproche au Ministère public d'avoir retenu que, faute de dommage, les conditions d'une gestion déloyale n'étaient pas remplies.![endif]&gt;![if&gt;</w:t>
      </w:r>
    </w:p>
    <w:p>
      <w:r>
        <w:rPr>
          <w:b/>
        </w:rPr>
        <w:t>E. 3.1</w:t>
      </w:r>
    </w:p>
    <w:p>
      <w:r>
        <w:t>À teneur de l'art. 319 al. 1 CPP, le Ministère public ordonne le classement de tout ou partie de la procédure lorsque, notamment, après clôture de l'instruction (art. 318 al. 1 CPP), aucun soupçon justifiant une mise en accusation n'est établi (let. a), que les éléments constitutifs d'une infraction ne sont pas réunis (let. b) ou lorsqu'il est établi que certaines conditions à l'ouverture de l'action pénale ne peuvent pas être remplies ou que des empêchements de procéder sont apparus (let. d).![endif]&gt;![if&gt;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3.2</w:t>
      </w:r>
    </w:p>
    <w:p>
      <w:r>
        <w:t>À teneur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1).![endif]&gt;![if&gt; Si l'auteur a agi dans le dessein de se procurer ou de procurer à un tiers un enrichissement illégitime, le juge pourra prononcer une peine privative de liberté de un à cinq ans (al. 3). Sur le plan objectif, l'infraction de gestion déloyale au sens de l'art. 158 ch. 1 CP suppose la réunion de quatre éléments, à savoir un devoir de gestion ou de sauvegarde, la violation de ce devoir, un dommage et l'intention. L'infraction n'est donc consommée que s'il y a eu un préjudice (ATF 120 IV 190 consid. 2b p. 193), en rapport de causalité avec la violation des devoirs (ATF 129 IV 124 consid. 3.1 p. 125).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120 IV 122 consid. 6b/bb p. 135) ; un préjudice temporaire suffit. Il n'est pas nécessaire que le dommage corresponde à l'enrichissement de l'auteur, ni qu'il soit chiffré ; il suffit qu'il soit certain (cf. ATF 123 IV 17 consid. 3d p. 22 ; 122 IV 279 consid. 2a ; 121 IV 104 consid. 2c p. 107). Il n'existe que lorsque la personne lésée a un droit protégé par le droit civil à la compensation du dommage subi (arrêt du Tribunal fédéral 6B_986/2008 du 20 avril 2009 consid. 4.1 et les arrêts cités). Le dommage peut prendre la forme d'un gain manqué selon la jurisprudence établie de longue date par le Tribunal fédéral, pour autant que l'auteur doive veiller à accroître le patrimoine confié (ATF 105 IV 307 consid. 3 p. 313 = JdT 1981 IV p. 79).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(ATF 80 IV p. 248 = JdT 1955 IV 82).</w:t>
      </w:r>
    </w:p>
    <w:p>
      <w:r>
        <w:rPr>
          <w:b/>
        </w:rPr>
        <w:t>E. 3.3</w:t>
      </w:r>
    </w:p>
    <w:p>
      <w:r>
        <w:t>En l'espèce, l'existence d'un mandat de gestion, au sens de l'art. 158 CP est indéniable et n'est, au demeurant, contestée par aucune des parties.</w:t>
      </w:r>
    </w:p>
    <w:p>
      <w:r>
        <w:rPr>
          <w:b/>
        </w:rPr>
        <w:t>E. 3.4</w:t>
      </w:r>
    </w:p>
    <w:p>
      <w:r>
        <w:t>En revanche, c'est à juste titre que le Ministère public conclut à l'absence de dommage. Le patrimoine de la recourante (et de sa sœur) confié à la gestion des mis en cause en 1997 ne s'est pas trouvé appauvri, au 31 décembre 2014. En tenant compte des prélèvements effectués il a même été augmenté. On ne constate donc pas, globalement, de perte sur le portefeuille, constitué des trois relations bancaires 1______, 2______ et 3______ auprès de la banque F______ SA. La recourante soutient que la gestion de son patrimoine a souffert, par la faute des prévenus, d'une non-augmentation des actifs et en veut pour preuve la comparaison de son portefeuille à celui, hypothétique, de portefeuilles équilibrés. Ce raisonnement fait toutefois fi du contrat de gestion hautement agressive et spéculative (" Highly aggressive and speculative management ") qu'elle a conclu. La recourante ne peut pas demander aux autorités pénales de comparer l'incomparable. Si elle entendait spéculer et, à ce titre, prendre des risques, notamment par des investissements privés, elle ne peut pas, ensuite, se référer à une gestion qui " sans être conservat[rice], est équilibrée " – donc non spéculative –, pour se plaindre d'une non-augmentation de son capital. Qu'elle ne se rappelle pas avoir signé le mandat de gestion produit à l'appui de sa plainte ne veut pas encore dire qu'elle ne l'a pas paraphé, étant à cet égard relevé qu'elle ne s'est jamais plainte – depuis début 2015 où ce document lui a été remis – de l'existence d'un faux. Son premier grief tombe donc à faux. La recourante soutient ensuite que B______ aurait, dans le cadre du mandat de gestion, placé ses avoirs presque exclusivement dans le domaine minier, hautement risqué, et, plus particulièrement, dans deux sociétés dont il était administrateur et/ou actionnaire, lui causant une perte d'argent. Même à supposer que la proximité du prévenu avec les sociétés G______ et H______ pourrait être constitutive d'une violation de ses devoirs de gestion, au sens de l'art. 158 CP, les placements effectués dans ces sociétés n'ont pas été mauvais. Les titres de la première ont même fortement augmenté, accroissant ainsi d'autant les fonds placés par la recourante, ce qu'elle ne conteste au demeurant pas. La recourante n'approuve pas les allégations du prévenu selon lesquelles elle n'avait pas voulu vendre au moment propice, préférant, selon lui, prendre le risque de conserver sa position, mais elle n'établit, ni ne rend même vraisemblable le contraire, à savoir que le précité serait volontairement responsable de l'absence de vente des titres avant leur chute. Quoi qu'il en soit, même après la baisse de l'indice des titres des deux sociétés précitées, la recourante n'a pas perdu d'argent, puisque son patrimoine à fin 2014 n'était pas inférieur à celui qu'elle avait investi en 1997. Elle ne peut donc pas reprocher au(x) prévenu(s) de l'avoir amenée à placer une partie de ses fonds dans des entités dans lesquelles elle aurait gagné moins – mais gagné quand-même – que si elle les avait placés ailleurs. Son deuxième grief est donc également infondé. La recourante ne peut pas non plus se retrancher derrière son âge et son absence de connaissance du domaine financier pour reprocher aux prévenus de ne pas avoir suffisamment augmenté son patrimoine sous gestion. Elle a, par sa signature, voulu une gestion spéculative et agressive de son portefeuille, validé parallèlement les ordres de placements litigieux et régulièrement approuvé, par sa signature, les bien-trouvés de ses avoirs, démontrant ainsi avoir été parfaitement tenue au courant de la gestion de son capital, ainsi que des gains et des pertes réalisés. Elle ne peut, aujourd'hui, se plaindre que le rendement global de son portefeuille n'a pas été celui qu'il aurait pu être s'il avait été placé autrement. D'une part, car elle a consenti auxdits placements et, d'autre part, car son contrat – comme le relève le Ministère public – ne prévoyait pas un rendement particulier dont elle pourrait, en toute hypothèse, faire supporter la responsabilité de la non-réalisation aux prévenus. Il s'ensuit que le dommage, au sens de l'art. 158 CP, n'est ni établi ni certain. Partant, une expertise financière du patrimoine sous gestion n'est pas nécessaire, les faits étant suffisamment clairs (art. 182 CPP).</w:t>
      </w:r>
    </w:p>
    <w:p>
      <w:r>
        <w:rPr>
          <w:b/>
        </w:rPr>
        <w:t>E. 3.5</w:t>
      </w:r>
    </w:p>
    <w:p>
      <w:r>
        <w:t>Compte tenu de ce qui précède, point n'est besoin d'examiner les autres conditions à la réalisation de l'art. 158 CP.</w:t>
      </w:r>
    </w:p>
    <w:p>
      <w:r>
        <w:rPr>
          <w:b/>
        </w:rPr>
        <w:t>E. 4</w:t>
      </w:r>
    </w:p>
    <w:p>
      <w:r>
        <w:t>Justifiée, l'ordonnance querellée sera donc confirmée.![endif]&gt;![if&gt;</w:t>
      </w:r>
    </w:p>
    <w:p>
      <w:r>
        <w:rPr>
          <w:b/>
        </w:rPr>
        <w:t>E. 5</w:t>
      </w:r>
    </w:p>
    <w:p>
      <w:r>
        <w:t>La recourante, qui succombe, supportera les frais envers l'État, fixés au total à CHF 2'500.- (art. 428 al. 1 CPP et 13 al. 1 du Règlement fixant le tarif des frais en matière pénale, RTFMP ; E 4 10.03). ![endif]&gt;![if&gt;</w:t>
      </w:r>
    </w:p>
    <w:p>
      <w:r>
        <w:rPr>
          <w:b/>
        </w:rPr>
        <w:t>E. 6</w:t>
      </w:r>
    </w:p>
    <w:p>
      <w:r>
        <w:t>L'intimé C______ n'a pas à être indemnisé pour ses observations sur le recours, signées en personne, qui sont identiques à celles de B______. Ce dernier recevra une équitable indemnité de CHF 730.- (TVA à 7.7% incluse) pour ses observations de 3 pages (page de garde comprise) et la lettre de son conseil du 20 juin 2018, correspondant à 1 heure 30 d'activité au taux horaire de CHF 450.- pratiqué par la Chambre de céans (art. 429 al. 2 CPP ; L. MOREILLON / A. PAREIN-REYMOND, CPP, Code de procédure pénale , 2ème éd., Bâle 2016, n. 29 ad art. 429 ; ACPR/112/2014 du 26 février 2014).![endif]&gt;![if&gt;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