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P/5067/2012 vom 3. April 2014</w:t>
      </w:r>
    </w:p>
    <w:p>
      <w:r>
        <w:t>GE Cour de justice, 2014-04-03, FR</w:t>
      </w:r>
    </w:p>
    <w:p>
      <w:r>
        <w:rPr>
          <w:b/>
        </w:rPr>
        <w:t xml:space="preserve">Quelle: </w:t>
      </w:r>
      <w:r>
        <w:t>https://mcp.opencaselaw.ch/entscheid/ge_gerichte_P_5067_2012</w:t>
      </w:r>
    </w:p>
    <w:p>
      <w:r>
        <w:t>FR: GE_GERICHTE P/5067/2012 du 3 avril 2014</w:t>
      </w:r>
    </w:p>
    <w:p>
      <w:r>
        <w:t>IT: GE_GERICHTE P/5067/2012 del 3 aprile 2014</w:t>
      </w:r>
    </w:p>
    <w:p>
      <w:pPr>
        <w:pStyle w:val="Heading2"/>
      </w:pPr>
      <w:r>
        <w:t>Regeste</w:t>
      </w:r>
    </w:p>
    <w:p>
      <w:r>
        <w:t>APPRÉCIATION DES PREUVES; AGRESSION; COAUTEUR(DROIT PÉNAL); FIXATION DE LA PEINE | CPP.10; CPP.389; CP.134; CP.47</w:t>
      </w:r>
    </w:p>
    <w:p>
      <w:pPr>
        <w:pStyle w:val="Heading2"/>
      </w:pPr>
      <w:r>
        <w:t>Erwägungen</w:t>
      </w:r>
    </w:p>
    <w:p>
      <w:r>
        <w:rPr>
          <w:b/>
        </w:rPr>
        <w:t>E. 1</w:t>
      </w:r>
    </w:p>
    <w:p>
      <w:r>
        <w:t>Les appels principaux et joint sont recevables pour avoir été interjetés et motivés selon la forme et dans les délais prescrits (art. 398, 399, 400 al. 3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B______ requiert à titre de question préjudicielle l'audition de F______ afin que des questions additionnelles puissent lui être posées « sur la (nouvelle) thèse retenue par le Tribunal de police qui a trait à la planification de l'infraction ».</w:t>
      </w:r>
    </w:p>
    <w:p>
      <w:r>
        <w:rPr>
          <w:b/>
        </w:rPr>
        <w:t>E. 2.1</w:t>
      </w:r>
    </w:p>
    <w:p>
      <w:r>
        <w:t>Aux termes de l’art. 134 CP, se rend coupable d’agression celui qui aura participé à une agression dirigée contre une ou plusieurs personnes au cours de laquelle l’une d’entre elles ou un tiers aura trouvé la mort ou subi une lésion corporelle. L’agression se caractérise ainsi comme une attaque unilatérale de deux personnes au moins, dirigée contre une ou plusieurs victimes, qui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(arrêt du Tribunal fédéral 6B_405/2012 du 7 janvier 2013 consid. 2.1.1). Pour que les éléments constitutifs de l’agression soient réunis, il faut qu’une ou plusieurs des personnes agressées soient blessées ou tuées. Il s’agit d’une condition objective de punissabilité (ATF 135 IV 152 consid. 2.1.1 p. 153 ; arrêt du Tribunal fédéral 6B_619/2013 du 2 septembre 2013 consid. 2.1). La mort ou la lésion corporelle doivent résulter de l’agression ou des événements qui l’ont suivi immédiatement (ATF 106 IV 246 consid. 3f p. 253 ; arrêt du Tribunal fédéral 6B_658/2008 du 6 février 2009 consid. 3.1). Comme dans le cas de la rixe (art. 133 CP), l’infraction est exclue si le rapport de causalité n’est pas suffisamment étroit. S’il est exigé de l’auteur qu’il participe intentionnellement à l’agression, il n’est toutefois pas nécessaire qu’il veuille ou accepte qu’une personne soit tuée ou blessée (arrêt du Tribunal fédéral 6B_373/2011 du 14 novembre 2011 consid. 3.2). L’agression étant une infraction de mise en danger abstraite, la participation de l’auteur à une agression suffit pour qu’il soit punissable, sans égard à sa responsabilité s’agissant de la lésion survenue (ATF 118 IV 227 consid. 5b p. 229 ; ATF 135 IV 152 consid. 2.1.1 p. 153s).</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130 IV 58 consid. 9.2.1 p. 66, 125 IV 134 consid. 3a p. 136 ; SJ 2008 I 373 consid. 7.3.4.5 p. 382-383). La jurisprudence exige même que le coauteur ait une certaine maîtrise des opérations et que son rôle soit plus ou moins indispensable (ATF 120 IV 17 consid. 2d p. 23, 136 consid. 2b p. 141,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Les coauteurs n'ont pas besoin de se connaître ; ils doivent savoir qu'ils appartiennent à une même équipe et que celle-ci opère sur le mode de la division du travail. Les volontés concordantes constituant le plan commun ne doivent pas nécessairement avoir été déclarées de manière expresse. Elles peuvent aussi résulter d'actes concluants. La notion de plan commun n'implique obligatoirement ni préméditation ni planification d'une infraction concrète dans tous les détails. Une « convention générale » définissant l'objectif à atteindre et les moyens d'y parvenir permet de fonder la coactivité si l'infraction envisagée est suffisamment typicisée. Chaque contribution des coauteurs doit avoir été essentielle. Une contribution fournie entre le commencement d'exécution et la consommation de celle-ci, est toujours essentielle lorsque l'auteur adopte tout ou partie du comportement incriminé, au sens de la conception objective formelle de la participation principale. La question de savoir à partir de quand un agissement intrinsèquement atypique pèse de manière suffisante sur l'exécution d'une infraction pour relever de la coactivité, et non plus simplement de la complicité, ne peut être résolue de façon abstraite. Par exemple, un guetteur sera qualifié de coauteur ou de complice selon qu'il aura occupé un poste d'observation stratégiquement important ou secondaire. Le guetteur posté en un lieu capital pour la réussite de l'entreprise demeure coauteur de l'infraction perpétrée alors même qu'il n'a pas eu besoin d'avertir ses acolytes d'un danger (R. ROTH / L. MOREILLON (éds), Commentaire romand , Code pénal I : art. 1-100 CP, Bâle 2009, n. 81 ss p. 268 ss). Dans le cadre de l'infraction d'agression, toute personne qui se joint aux agresseurs, quel que soit le rôle qu'elle assume concrètement, réalise le comportement typique (M. DUPUIS / B. GELLER / G. MONNIER / L. MOREILLON / C. PIGUET / C. BETTEX / D. STOLL (éds), Code pénal - Petit commentaire , Bâle 2012, n. 4 ad art. 134). Peuvent aussi être reconnus coauteurs d'une agression les membres d'un groupe, qui n'exercent pas eux-mêmes de violence physique, mais qui, par leur présence, propagent l'hostilité à l'égard de la victime, contribuent à former un demi-cercle autour de cette dernière afin d'empêcher sa fuite et préviennent de l'arrivée des passants, le groupe fonctionnant alors comme une unité (C. FAVRE/ M. PELLET/ P. STOUDMANN, Code pénal annoté , Lausanne 2011, n. 1.4 ad art. 134 CP). Le comportement punissable consiste à prendre part à l'agression. Savoir si la participation peut être purement verbale est une question controversée. La doctrine dominante admet que, lorsqu'au moins deux personnes attaquent déjà physiquement la victime, la participation à l'agression peut aussi être psychologique ou verbale, soit par exemple être réalisée par le biais d'encouragements ou de remises d'armes (S. TRECHSEL, Schweizerisches Strafgesetzbuch : Praxiskommentar , Zurich/Saint-Gall 2008, ad art. 134 n. 2; M. NIGGLI / H. WIPRÄCHTIGER, Basler Kommentar Strafrecht II : Art. 111-392 StGB, 2e éd., Bâle 2007, n. 7 ad art. 134). Certains auteurs, en revanche, soutiennent que celui qui ne fait qu'exciter ou encourager les protagonistes est plutôt un participant accessoire, soit un instigateur ou un complice, l'agression se caractérisant comme un assaut physique (B. Corboz, Les infractions en droit suisse, vol. I, 3 ème éd., Berne 2010, n° 8 ad art. 134 CP). Toutefois, le fait que la personne ne participe pas elle-même à l'exécution proprement dite n'exclut pas qu'elle puisse être considérée comme coauteur, si elle en remplit les conditions (arrêt du Tribunal fédéral 6B_989/2009 du 22 mars 2010 consid. 3.1.2).</w:t>
      </w:r>
    </w:p>
    <w:p>
      <w:r>
        <w:rPr>
          <w:b/>
        </w:rPr>
        <w:t>E. 3</w:t>
      </w:r>
    </w:p>
    <w:p>
      <w:r>
        <w:t>Les appelants A______, B______ et l'appelant joint C______ contestent leur condamnation pour agression.</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l'art. 32 al. 1 de la Constitution fédérale de la Confédération suisse du 18 avril 1999 (Cst. ; RS 101),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w:t>
      </w:r>
    </w:p>
    <w:p>
      <w:r>
        <w:rPr>
          <w:b/>
        </w:rPr>
        <w:t>E. 3.3</w:t>
      </w:r>
    </w:p>
    <w:p>
      <w:r>
        <w:t>En l'espèce, il est établi que l'intimé a subi des lésions corporelles, suite à l'altercation physique survenue durant la nuit du 30 au 31 mars 2012, telles que constatées dans le certificat médical établi le 12 avril 2012 par le Dr Q______, à savoir un traumatisme crânien avec de multiples fractures de la face notamment de la table externe des sinus frontaux, du plancher et du toit de l’orbite gauche, de la lame papyracée droite, des os propres du nez ainsi que des cellules ethmoïdales antérieures. Il a de plus souffert d’une fracture du septum nasal avec un pneumocrâne frontal et du vertex. La condition objective de punissabilité de l'agression au sens de l'art. 134 CP est ainsi clairement remplie. Il ressort des déclarations de G______, témoin extérieur à la cause, sans intérêt subjectif à soutenir l'une ou l'autre des parties à la procédure, qu'un groupe formé de quatre occupants de la voiture a donné des coups de pied à l'intimé qui était à terre. Selon elle, chacun d'entre eux a frappé l'intimé. Selon le témoin N______, quatre ou cinq individus entouraient la partie plaignante et au moins deux d'entre eux l'ont frappée, alors que, selon le témoin O______, son ami a reçu des coups de la part de trois personnes différentes. Si F______ a déclaré avoir échangé des coups avec la victime, aucun de ses co-prévenus n'a déclaré avoir vu celle-ci donner des coups. B______ est mis en cause par C______, ce dernier ayant déclaré à la police que B______, D______ et F______ avaient frappé l'intimé après un « one-one » entre la victime et l'un d'eux. C______ a confirmé cela par-devant le Ministère public en précisant que D______ et B______ avaient participé à la mêlée en frappant également l'intimé. Selon lui, D______ et B______ étaient intervenus car la victime se défendait. Malgré ses dénégations et le courrier de C______ du 24 mai 2012 le mettant hors cause, rédigé à sa demande, force est de constater qu'il existe un faisceau d'indices suffisant pour admettre au-delà de tout doute raisonnable que B______ a agi en qualité de co-auteur dans la cadre de l'attaque unilatérale dirigée contre l'intimé, lequel s'est contenté d'encaisser les coups donnés par ses assaillants. Devant le Ministère public, D______ a mis en cause C______, précisant que ce dernier, lui-même et F______ avaient frappé l'intimé. B______ a également expliqué à la police et au Ministère public que C______ se trouvait devant l'intimé et qu'il avait vu des coups de pied et de poing partir. Il avait tenté de retenir ses amis dont C______ qui continuaient à donner des coups. Ces éléments pris ensemble suffisent à retenir au-delà de tout doute raisonnable que C______ a aussi participé en tant que co-auteur à l'agression. S'agissant de A______, il ressort de la procédure qu'il était au volant de la voiture le soir de l'agression, qu'il a arrêté brusquement le véhicule au milieu de la circulation après que l'intimé eut fait un geste en direction de et/ou jeté un mégot sur la voiture et qu'il est resté seul à côté de la voiture, ne participant ainsi pas directement à l'agression dont a été victime l'intimé. Toutefois et comme cela ressort de la jurisprudence précitée, sa contribution, soit le fait d'avoir arrêté la voiture, apparaît essentielle à l’exécution de l’infraction puisqu'il était destiné à permettre à ses amis d'aller demander des comptes à l'intimé. De plus, A______ a déclaré devant le Ministère public s'être senti agressé par le geste de la victime et trouver de ce fait normal que ses amis sortent du véhicule et se précipitent vers l'intimé pour lui demander les raisons de son geste, par quoi il entendait qu'ils lui donnent deux ou trois claques pour avoir jeté quelque chose sur la voiture. Il n'est pas crédible qu'aucun propos n'ait été échangé pour provoquer une telle réaction des passagers, d'autant qu'aucun d'entre eux n'avait identifié l'objet jeté, qui s'est révélé être un simple mégot de cigarette, ni entendu le bruit d’un quelconque impact (hormis F______), encore moins constaté de dégâts sur la voiture. L'explication donnée en appel par A______ selon laquelle il n'avait pas entendu de bruit ni senti de choc en raison du volume de la musique apparaît de pure circonstance. Le fait qu'il n'ait pas participé lui-même à la correction s’explique du reste aisément par le fait qu'il ne pouvait pas abandonner le véhicule au milieu de la chaussée. Enfin, la version des autostoppeurs qu'il a développée d'un commun accord avec C______ et D______ devant la police pour tenter d'expliquer l'agression subie par l'intimé permet de retenir que A______ a adhéré au projet visant à donner une violente leçon à l'intimé. Les éléments constitutifs de l’infraction à l’art. 134 CP sont ainsi réalisés pour chacun des appelants et l'appelant joint. Le verdict de culpabilité sera dès lors entièrement confirmé.</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les éléments liés à sa situation personnelle, tels que l’état de santé, l’âge, les obligations familiales, la situation professionnelle ou encore le risque de récidive, la vulnérabilité face à la peine, de même que le comportement après l’acte et au cours de la procédure pénale (ATF 134 IV 17 consid. 2.1 p. 19s ; ATF 129 IV 6 consid. 6.1 p. 20 ; arrêt du Tribunal fédéral 6B_198/2013 du 3 juin 2013 consid. 1.1).</w:t>
      </w:r>
    </w:p>
    <w:p>
      <w:r>
        <w:rPr>
          <w:b/>
        </w:rPr>
        <w:t>E. 4.2</w:t>
      </w:r>
    </w:p>
    <w:p>
      <w:r>
        <w:t>La faute des intéressés est lourde compte tenu des nombreuses lésions occasionnées par l'agression punitive dont a été victime l'intimé. Les coups portés à la tête de l'intimé auraient pu le mettre en danger de mort. Le mobile de l'agression est futile et ne saurait aucunement justifier un tel déferlement de violence gratuite. A leur décharge, les prévenus n'ont pas d'antécédents.</w:t>
      </w:r>
    </w:p>
    <w:p>
      <w:r>
        <w:rPr>
          <w:b/>
        </w:rPr>
        <w:t>E. 4.3</w:t>
      </w:r>
    </w:p>
    <w:p>
      <w:r>
        <w:t>Le premier juge a condamné les appelants à une peine privative de liberté de 24 mois qui n'a pas été contestée en tant que telle. Cette sanction est adéquate et correspond à la faute des intéressés au regard des éléments susmentionnés, de sorte qu’elle sera confirmée.</w:t>
      </w:r>
    </w:p>
    <w:p>
      <w:r>
        <w:rPr>
          <w:b/>
        </w:rPr>
        <w:t>E. 4.4</w:t>
      </w:r>
    </w:p>
    <w:p>
      <w:r>
        <w:t>En l’absence d’appel du Ministère public, le sursis (cf. art. 42 CP), dont les conditions sont au demeurant réalisées, est acquis aux appelants principaux et à l'appelant joint en application de l’interdiction de la reformatio in pejus (art. 391 al. 2 CPP). Au vu de ce qui précède, il n’y a pas lieu d’entrer en matière sur les conclusions en indemnisations présentées par les appelants A______ et B______ en application de l'art. 429 CPP.</w:t>
      </w:r>
    </w:p>
    <w:p>
      <w:r>
        <w:rPr>
          <w:b/>
        </w:rPr>
        <w:t>E. 4.5</w:t>
      </w:r>
    </w:p>
    <w:p>
      <w:r>
        <w:t>Les appelants et l'appelant joint ne contestent ni le principe ni le montant de l'indemnité pour tort moral accordée par le premier juge à l'intimé, de sorte que celle-ci sera également confirmée. Le jugement entrepris sera dès lors entièrement confirmé. Les appels seront rejetés, de même que l'appel joint.</w:t>
      </w:r>
    </w:p>
    <w:p>
      <w:r>
        <w:rPr>
          <w:b/>
        </w:rPr>
        <w:t>E. 5</w:t>
      </w:r>
    </w:p>
    <w:p>
      <w:r>
        <w:t>Les appelants et l'appelant joint qui succombent, supporteront, chacun le tiers des frais de la procédure envers l'État (art. 428 CPP), lesquels comprendront un émolument de jugement de CHF 3'000.-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