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P/5064/2012 vom 3. Dezember 2013</w:t>
      </w:r>
    </w:p>
    <w:p>
      <w:r>
        <w:t>GE Cour de justice, 2013-12-03, FR</w:t>
      </w:r>
    </w:p>
    <w:p>
      <w:r>
        <w:rPr>
          <w:b/>
        </w:rPr>
        <w:t xml:space="preserve">Quelle: </w:t>
      </w:r>
      <w:r>
        <w:t>https://mcp.opencaselaw.ch/entscheid/ge_gerichte_P_5064_2012</w:t>
      </w:r>
    </w:p>
    <w:p>
      <w:r>
        <w:t>FR: GE_GERICHTE P/5064/2012 du 3 décembre 2013</w:t>
      </w:r>
    </w:p>
    <w:p>
      <w:r>
        <w:t>IT: GE_GERICHTE P/5064/2012 del 3 dicembre 2013</w:t>
      </w:r>
    </w:p>
    <w:p>
      <w:pPr>
        <w:pStyle w:val="Heading2"/>
      </w:pPr>
      <w:r>
        <w:t>Regeste</w:t>
      </w:r>
    </w:p>
    <w:p>
      <w:r>
        <w:t>EXEMPTION DE PEINE; AVOCAT | CP. 52; LPAv.51</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2.2</w:t>
      </w:r>
    </w:p>
    <w:p>
      <w:r>
        <w:t>En l'espèce, l'appel du Ministère public porte uniquement sur la question de l'exemption de peine. Le verdict de culpabilité pour violation de l'art. 51 LPAv ne sera ainsi pas examiné par la Chambre de céans, étant noté que la décision n'est, du reste, pas illégale ou inéquitable.</w:t>
      </w:r>
    </w:p>
    <w:p>
      <w:r>
        <w:rPr>
          <w:b/>
        </w:rPr>
        <w:t>E. 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4</w:t>
      </w:r>
    </w:p>
    <w:p>
      <w:r>
        <w:t>4.1 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 Code de procédure pénale suisse , Bâle 2011, n. 30 ad art. 398).</w:t>
      </w:r>
    </w:p>
    <w:p>
      <w:r>
        <w:rPr>
          <w:b/>
        </w:rPr>
        <w:t>E. 4.2</w:t>
      </w:r>
    </w:p>
    <w:p>
      <w:r>
        <w:t>Le présent appel porte sur une contravention, de sorte que la production de pièces nouvelles en appel est prohibée. Il ne sera ainsi pas tenu compte du courrier soumis par l'intimé à la Cour de céans le 16 octobre 2013, soit après que la cause a été retenue à juger, cette pièce n’étant en tout état de cause pas susceptible d’influer sur l’issue de la procédure.</w:t>
      </w:r>
    </w:p>
    <w:p>
      <w:r>
        <w:rPr>
          <w:b/>
        </w:rPr>
        <w:t>E. 5</w:t>
      </w:r>
    </w:p>
    <w:p>
      <w:r>
        <w:t>5.1.1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5.1.2 Cette règle est applicable aux contraventions de droit cantonal genevois par le renvoi de l’art. 1 de la loi pénale genevoise du 17 novembre 2006 (LPG ; RS E 4 05). En cas de contraventions, l’exemption suppose que le fait en question apparaisse, quant à la faute et aux conséquences de l'acte, comme d'une gravité significativement moindre que le cas typique du comportement réprimé (ATF 138 IV 13 consid. 9 p. 28 et les références citées).L'importance de la culpabilité et celle du résultat dans le cas particulier doivent ainsi être évaluées par comparaison avec celle de la culpabilité et celle du résultat dans les cas typiques de faits punissables revêtant la même qualification. 5.2.1 En l’espèce, l'intimé a utilisé un modèle de procuration de l'Ordre des avocats, destiné aux avocats inscrits au registre et l’a adressé au Tribunal fédéral. Cette formule a été par ailleurs complétée avec la désignation "Me X______, avocat" et non par celle de "titulaire du brevet d'avocat", titre qu'il utilise sur son papier à en-tête. Il était ainsi pleinement conscient de la nature illicite de son acte. L'urgence invoquée, ou l'erreur " de son secrétariat et la sienne " ne sont pas de nature à le disculper. En outre, il faut relever qu'au moment où l'intimé a fait usage de la procuration litigieuse, le 14 octobre 2011, il savait que le Ministère public diligentait une autre procédure à son encontre portant sur son utilisation du titre d'avocat, l'ordonnance de non-entrée en matière que X______ a produite devant le premier juge ayant été rendue le 20 octobre 2011. Il était ainsi particulièrement averti des conséquences de ses actes. Compte tenu du but poursuivi par l’art. 51 LPav, sa culpabilité n'est pas particulièrement légère, ses antécédents, portant sur des infractions d'une autre nature, n'étant pas pertinents à cet égard. 5.2.2 Les conséquences de l'infraction consistent notamment en la publication, dans un arrêt du Tribunal fédéral mis en ligne sur Internet, du nom de l'intimé accompagné du titre d'avocat, cette publication étant susceptible de conduire un nombre indéterminé de personnes à penser que l’intimé était – de nouveau – régulièrement inscrit au registre cantonal. Le fait que le Tribunal fédéral, nonobstant les différents courriers que l’intimé lui a adressés, ait désigné ce dernier comme étant avocat dans son arrêt, montre que les informations contenues dans la procuration ont déployé leurs effets. En comparaison avec les conséquences typiques d’une contravention à l'art. 51 LPAv, ces conséquences ne sont pas de peu d'importance.</w:t>
      </w:r>
    </w:p>
    <w:p>
      <w:r>
        <w:rPr>
          <w:b/>
        </w:rPr>
        <w:t>E. 5.3</w:t>
      </w:r>
    </w:p>
    <w:p>
      <w:r>
        <w:t>Ainsi, les deux conditions de l'art. 52 CP n'étant pas réunies, il ne se justifie pas d'exempter l'intimé de peine. L’intimé n’a pas pris des conclusions, même à titre subsidiaire, sur le montant de l’amende. Conformément à l’art. 106 CP, applicable par renvoi de l’art. 1 LPG, le montant de l’amende est d’au maximum CHF 10'000.–. Pour le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(al. 3). Au vu de la faute commise, qui doit être qualifiée de peu importante, et de la situation financière de l’intimé, qui s’acquitte par ailleurs régulièrement des dettes à l’origine de sa radiation du barreau, le montant de l’amende sera fixé à CHF 500.–. Selon le taux de conversion habituellement appliqué, l’amende sera assortie d’une peine privative de liberté de substitution de 5 jours.</w:t>
      </w:r>
    </w:p>
    <w:p>
      <w:r>
        <w:rPr>
          <w:b/>
        </w:rPr>
        <w:t>E. 6</w:t>
      </w:r>
    </w:p>
    <w:p>
      <w:r>
        <w:t>L'intimé, qui succombe, supportera les frais de la procédure d'appel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