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P/5052/2021 vom 16. Dezember 2024</w:t>
      </w:r>
    </w:p>
    <w:p>
      <w:r>
        <w:t>GE Cour de justice, 2024-12-16, FR</w:t>
      </w:r>
    </w:p>
    <w:p>
      <w:r>
        <w:rPr>
          <w:b/>
        </w:rPr>
        <w:t xml:space="preserve">Quelle: </w:t>
      </w:r>
      <w:r>
        <w:t>https://mcp.opencaselaw.ch/entscheid/ge_gerichte_P_5052_2021</w:t>
      </w:r>
    </w:p>
    <w:p>
      <w:r>
        <w:t>FR: GE_GERICHTE P/5052/2021 du 16 décembre 2024</w:t>
      </w:r>
    </w:p>
    <w:p>
      <w:r>
        <w:t>IT: GE_GERICHTE P/5052/2021 del 16 dicembre 2024</w:t>
      </w:r>
    </w:p>
    <w:p>
      <w:pPr>
        <w:pStyle w:val="Heading2"/>
      </w:pPr>
      <w:r>
        <w:t>Regeste</w:t>
      </w:r>
    </w:p>
    <w:p>
      <w:r>
        <w:t>DÉLAI;OPPOSITION TARDIVE;NOTIFICATION IRRÉGULIÈRE | CPP.385; CPP.353.al3; CPP.85.al2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Ministère public qui, partie à la procédure (art. 104 al. 1 let. c CPP), a qualité pour agir (art. 381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conteste la validité de la notification de l'ordonnance pénale.</w:t>
      </w:r>
    </w:p>
    <w:p>
      <w:r>
        <w:rPr>
          <w:b/>
        </w:rPr>
        <w:t>E. 3.1</w:t>
      </w:r>
    </w:p>
    <w:p>
      <w:r>
        <w:t>À teneur de l'art. 353 al. 3 CPP, l'ordonnance pénale est immédiatement notifiée par écrit aux personnes et aux autorités qui ont qualité pour former opposition. Le prévenu peut faire opposition à l'ordonnance pénale devant le ministère public, par écrit, dans les dix jours (art. 354 al. 1 let. a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3.2</w:t>
      </w:r>
    </w:p>
    <w:p>
      <w:r>
        <w:t>Les autorités pénales notifient leurs prononcés par lettre signature ou par tout autre mode de communication impliquant un accusé de réception, notamment par l'entremise de la police (art. 85 al. 2 CPP). Le prononcé est réputé notifié si son destinataire ne l'a pas retiré dans les sept jours à compter d'une tentative de remise infructueuse, à condition qu'il ait dû s'attendre à une telle remise (art. 85 al. 4 let. a CPP). En vertu de l'art. 87 CPP, toute communication doit être notifiée au domicile du destinataire (al. 1). Tel sera le cas chaque fois qu'il est partie à une procédure pendante (ATF 134 V 49 consid. 4 ; 130 III 396 consid. 1.2.3).</w:t>
      </w:r>
    </w:p>
    <w:p>
      <w:r>
        <w:rPr>
          <w:b/>
        </w:rPr>
        <w:t>E. 3.3</w:t>
      </w:r>
    </w:p>
    <w:p>
      <w:r>
        <w:t>Il existe une présomption de fait – réfragable – selon laquelle, pour les envois recommandés, la date de remise d'un pli,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Il suffit d'établir qu'il existe une vraisemblance prépondérante que des erreurs se soient produites lors de la notification (arrêts du Tribunal fédéral 6B_314/2012 du 18 février 2013 consid. 1.4.1; 6B_281/2012 du 9 octobre 2012 consid. 2.1).</w:t>
      </w:r>
    </w:p>
    <w:p>
      <w:r>
        <w:rPr>
          <w:b/>
        </w:rPr>
        <w:t>E. 3.4</w:t>
      </w:r>
    </w:p>
    <w:p>
      <w:r>
        <w:t>En l'occurrence, l'ordonnance pénale a été expédiée le 14 octobre 2022 et le destinataire avisé pour retrait le 17 suivant. Elle est ainsi réputée lui avoir été notifiée le 24 octobre 2022, soit à l’échéance du délai de garde postal de sept jours. Partant, le délai est venu à échéance le 3 novembre 2022. Le recourant allègue avoir été empêché de former opposition dans le délai en raison d'une erreur de La Poste, laquelle n'aurait pas déposé l'avis de retrait dans la bonne boîte aux lettres. Dans un premier temps, il sera relevé que l'ordonnance litigieuse a été envoyée à l'adresse indiquée par le recourant aux autorités pénales et à laquelle il était toujours domicilié le 24 octobre 2024, puisqu'il allègue lui-même n'avoir déménagé que le 28 suivant. L'adresse de notification est ainsi valable. Reste ainsi à déterminer si le recourant devait s'attendre à y recevoir une communication des autorités de poursuite pénale. L'intéressé, qui savait qu'une procédure pénale était ouverte à son encontre – son audition à la police sous le statut de prévenu étant nécessaire et suffisante à cet égard – devait prendre toutes les mesures afin de pouvoir être atteint à l'adresse indiquée dans le cadre de celle-ci, ce d'autant plus qu'il savait qu'il allait déménager (cf. ATF 138 III 225 consid. 3.1). Il n'indique pas avoir pris de dispositions afin que son courrier le suive à sa nouvelle adresse ou avoir contacté la police pour l'en informer, comme les principes sus-rappelés le lui imposaient. Le recourant émet l'hypothèse selon laquelle La Poste aurait déposé l'avis de retrait de façon erronée ou dans une autre boîte aux lettres. Or, il ressort du suivi des recommandés de La Poste, dont on ne saurait s'écarter sans raison, que cet avis a été remis le 17 octobre 2022 à l'adresse fournie par le recourant lui-même et que le pli n'avait par la suite pas été retiré. Rien ne permet de remettre en question ce déroulement. Il allègue ensuite que son voisin aurait aperçu un courrier à son attention au-dessus des boîtes aux lettres. Or, si l'avis est resté ignoré selon La Poste, c'est donc qu'un recommandé avait bien été envoyé au recourant, que, par conséquent, seul un avis de retrait aurait pu être vu par le voisin " sur les boîtes aux lettres " – et non l'envoi lui-même – et ainsi, que si cet avis avait dû être déposé au-dessus et non dans une boîte aux lettres, c'est que le nom du recourant ne figurait plus sur l'une d'elles, de sorte qu'il ne peut soutenir avoir pris les mesures adéquates pour faire suivre son courrier à sa nouvelle adresse et avoir fait preuve de la diligence nécessaire. Expédiée le 11 octobre 2024, l'opposition à l'ordonnance pénale – notifiée régulièrement – apparait ainsi tardive sous l'angle de l'art. 354 al. 1 CPP, partant irrecevable, ce que le Tribunal de police a valablement constaté. Aucune nouvelle mesure d'instruction ne serait en mesure d'apporter d'élément utile.</w:t>
      </w:r>
    </w:p>
    <w:p>
      <w:r>
        <w:rPr>
          <w:b/>
        </w:rPr>
        <w:t>E. 4</w:t>
      </w:r>
    </w:p>
    <w:p>
      <w:r>
        <w:t>Justifiée, l'ordonnance querellée sera donc confirmée.</w:t>
      </w:r>
    </w:p>
    <w:p>
      <w:r>
        <w:rPr>
          <w:b/>
        </w:rPr>
        <w:t>E. 5</w:t>
      </w:r>
    </w:p>
    <w:p>
      <w:r>
        <w:t>Le recourant, qui succombe, supportera les frais envers l'État, qui comprendront un émolument de CHF 200.- (art. 428 al. 1 CPP et 13 al. 1 du Règlement fixant le tarif des frais en matière pénale, RTFMP ; E 4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