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P/5050/2019 vom 15. März 2022</w:t>
      </w:r>
    </w:p>
    <w:p>
      <w:r>
        <w:t>GE Cour de justice, 2022-03-15, FR</w:t>
      </w:r>
    </w:p>
    <w:p>
      <w:r>
        <w:rPr>
          <w:b/>
        </w:rPr>
        <w:t xml:space="preserve">Quelle: </w:t>
      </w:r>
      <w:r>
        <w:t>https://mcp.opencaselaw.ch/entscheid/ge_gerichte_P_5050_2019</w:t>
      </w:r>
    </w:p>
    <w:p>
      <w:r>
        <w:t>FR: GE_GERICHTE P/5050/2019 du 15 mars 2022</w:t>
      </w:r>
    </w:p>
    <w:p>
      <w:r>
        <w:t>IT: GE_GERICHTE P/5050/2019 del 15 marzo 2022</w:t>
      </w:r>
    </w:p>
    <w:p>
      <w:pPr>
        <w:pStyle w:val="Heading2"/>
      </w:pPr>
      <w:r>
        <w:t>Regeste</w:t>
      </w:r>
    </w:p>
    <w:p>
      <w:r>
        <w:t>FRAIS DE LA PROCÉDURE;CLASSEMENT DE LA PROCÉDURE;DÉFENSE D'OFFICE;INDEMNITÉ(EN GÉNÉRAL);DÉPENS | CPP.426; CPP.135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reproche au Ministère public d'avoir mis à sa charge une partie des frais de la procédure liés au classement partiel.![endif]&gt;![if&gt;</w:t>
      </w:r>
    </w:p>
    <w:p>
      <w:r>
        <w:rPr>
          <w:b/>
        </w:rPr>
        <w:t>E. 2.1</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cours.![endif]&gt;![if&gt;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et les références citées).</w:t>
      </w:r>
    </w:p>
    <w:p>
      <w:r>
        <w:rPr>
          <w:b/>
        </w:rPr>
        <w:t>E. 2.2</w:t>
      </w:r>
    </w:p>
    <w:p>
      <w:r>
        <w:t>En l'espèce, à teneur du dossier, la recourante s'est rendue aux convocations – sauf à une reprise par-devant le Ministère public mais a été excusée –, sans que des mandats d'amener n'aient été délivrés à son encontre. Ainsi, l'argument invoqué par le Ministère public dans l'ordonnance attaquée ne peut être suivi la concernant.![endif]&gt;![if&gt; Par ailleurs, dès sa première audition, elle s'est expliquée quant aux faits reprochés. Elle n'avait pas commis l'excès de vitesse constaté et ignorait qui avait conduit son véhicule. Le soir en question, elle avait laissé la clé de sa voiture dans l'appartement de sa tante, elle-même ne s'y trouvant pas. Si, à l'époque de sa première audition, elle ne résidait plus chez sa tante, lors de la seconde, elle était retournée vivre dans l'appartement de celle-ci. En outre, il n'est pas possible, pour la condamner aux frais de la procédure dont le classement est prononcé, de reprocher à la recourante d'avoir provoqué l'ouverture de la procédure en raison du comportement retenu dans l'ordonnance pénale, ni ceux à l'origine de l'ordonnance querellée, sauf à porter atteinte à la présomption d'innocence. Au surplus, on ne voit pas quelle autre norme de comportement aurait été violée par la recourante, le Ministère public n'en suggérant au demeurant aucune. Aussi, les conditions de l'art. 426 al. 2 CPP ne sont pas réunies. En conclusion, le chiffre 8 du dispositif attaqué doit être annulé concernant la recourante et la partie des frais mis à sa charge laissée à la charge de l'État.</w:t>
      </w:r>
    </w:p>
    <w:p>
      <w:r>
        <w:rPr>
          <w:b/>
        </w:rPr>
        <w:t>E. 3</w:t>
      </w:r>
    </w:p>
    <w:p>
      <w:r>
        <w:t>Fondé, le recours doit être admis; partant, l'ordonnance querellée partiellement annulée au sens des considérants. ![endif]&gt;![if&gt;</w:t>
      </w:r>
    </w:p>
    <w:p>
      <w:r>
        <w:rPr>
          <w:b/>
        </w:rPr>
        <w:t>E. 4</w:t>
      </w:r>
    </w:p>
    <w:p>
      <w:r>
        <w:t>L'admission du recours ne donne pas lieu à la perception de frais (art. 428 al. 1 CPP). ![endif]&gt;![if&gt;</w:t>
      </w:r>
    </w:p>
    <w:p>
      <w:r>
        <w:rPr>
          <w:b/>
        </w:rPr>
        <w:t>E. 5</w:t>
      </w:r>
    </w:p>
    <w:p>
      <w:r>
        <w:t>La procédure afférente au classement partiel étant ici close (art. 135 al. 2 CPP), il convient d'allouer des dépens au défenseur d'office pour son activité durant la procédure de recours. ![endif]&gt;![if&gt;</w:t>
      </w:r>
    </w:p>
    <w:p>
      <w:r>
        <w:rPr>
          <w:b/>
        </w:rPr>
        <w:t>E. 5.1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RAJ).![endif]&gt;![if&gt;</w:t>
      </w:r>
    </w:p>
    <w:p>
      <w:r>
        <w:rPr>
          <w:b/>
        </w:rPr>
        <w:t>E. 5.2</w:t>
      </w:r>
    </w:p>
    <w:p>
      <w:r>
        <w:t>En l'occurrence, le conseil de la recourante conclut au versement d'une indemnité de CHF 3'877.20 (TVA à 7.7 % incluse), correspondant à 15 heures d'activité (900 minutes), augmentées du forfait correspondance et téléphone (20 %), soit un total de 18 heures d'activité, à CHF 200.- de l'heure.![endif]&gt;![if&gt; Considérant le recours (8 pages), la réplique (1 page), l'absence de difficulté de la cause, et que le forfait de 20 % correspondance et téléphone ne se justifie pas en instance de recours ( ACPR/762/2018 du 14 décembre 2018), trois heures d'activité au total, au tarif horaire de CHF 200.-, apparaissent adéquates et seront rémunérées. L'indemnité sera alors arrêtée à CHF 646.20, TVA à 7.7 % incluse.</w:t>
      </w:r>
    </w:p>
    <w:p>
      <w:r>
        <w:rPr>
          <w:b/>
        </w:rPr>
        <w:t>E. 6</w:t>
      </w:r>
    </w:p>
    <w:p>
      <w:r>
        <w:t>Les frais de la procédure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