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P/5047/2016 vom 16. März 2021</w:t>
      </w:r>
    </w:p>
    <w:p>
      <w:r>
        <w:t>GE Cour de justice, 2021-03-16, FR</w:t>
      </w:r>
    </w:p>
    <w:p>
      <w:r>
        <w:rPr>
          <w:b/>
        </w:rPr>
        <w:t xml:space="preserve">Quelle: </w:t>
      </w:r>
      <w:r>
        <w:t>https://mcp.opencaselaw.ch/entscheid/ge_gerichte_P_5047_2016</w:t>
      </w:r>
    </w:p>
    <w:p>
      <w:r>
        <w:t>FR: GE_GERICHTE P/5047/2016 du 16 mars 2021</w:t>
      </w:r>
    </w:p>
    <w:p>
      <w:r>
        <w:t>IT: GE_GERICHTE P/5047/2016 del 16 marzo 2021</w:t>
      </w:r>
    </w:p>
    <w:p>
      <w:pPr>
        <w:pStyle w:val="Heading2"/>
      </w:pPr>
      <w:r>
        <w:t>Regeste</w:t>
      </w:r>
    </w:p>
    <w:p>
      <w:r>
        <w:t>DÉNONCIATION CALOMNIEUSE;VIOLATION DU DEVOIR D'ASSISTANCE OU D'ÉDUCATION | CP.219; CP.303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w:t>
      </w:r>
    </w:p>
    <w:p>
      <w:r>
        <w:rPr>
          <w:b/>
        </w:rPr>
        <w:t>E. 2.2</w:t>
      </w:r>
    </w:p>
    <w:p>
      <w:r>
        <w:t>L'art. 303 ch. 1 al. 1 CP réprime le comportement de celui qui aura dénoncé à l'autorité, comme auteur d'un crime ou d'un délit, une personne qu'il savait innocente, en vue de faire ouvrir contre elle une poursuite pénale.</w:t>
      </w:r>
    </w:p>
    <w:p>
      <w:r>
        <w:rPr>
          <w:b/>
        </w:rPr>
        <w:t>E. 2.2.1</w:t>
      </w:r>
    </w:p>
    <w:p>
      <w:r>
        <w:t>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ou d'acquittement.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l'art. 54 CP, cela n'empêche pas le juge appelé à statuer sur l'infraction de dénonciation calomnieuse, de statuer à nouveau sur la culpabilité de la personne dénoncée (ATF 136 IV 170 consid. 2.1 et les références citées ; arrêt du Tribunal fédéral 6B_1289/2018 du 20 février 2019 consid. 1.2.1). La fausseté de l'accusation doit en principe être établie par une décision qui la constate, qu'il s'agisse d'un acquittement, d'un non-lieu ou d'un classement, le juge de la dénonciation calomnieuse étant lié par cette décision. Cependant, cette décision, lorsqu'elle existe, n'empêche pas celui qui doit répondre d'une dénonciation calomnieuse d'expliquer pourquoi, selon lui, le dénoncé avait adopté un comportement fautif et d'exciper de sa bonne foi (ATF 136 IV 170 consid. 2.1 et 2.2).</w:t>
      </w:r>
    </w:p>
    <w:p>
      <w:r>
        <w:rPr>
          <w:b/>
        </w:rPr>
        <w:t>E. 2.2.2</w:t>
      </w:r>
    </w:p>
    <w:p>
      <w:r>
        <w:t>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(ATF 136 IV 170 consid. 2.1). Par ailleurs, l'auteur doit agir en vue de faire ouvrir une poursuite pénale contre la personne qu'il accuse injustement. Le dol éventuel suffit quant à cette volonté de faire ouvrir une poursuite pénale (ATF 85 IV 83 ). La preuve de l'intention de l'auteur doit être soumise à des exigences élevées (M. NIGGLI / H. WIPRÄCHTIGER, Basler Kommentar Strafrecht II : Art. 111-392 StGB , 3 ème éd., Bâle 2013, N 25 ad art. 303 CP).</w:t>
      </w:r>
    </w:p>
    <w:p>
      <w:r>
        <w:rPr>
          <w:b/>
        </w:rPr>
        <w:t>E. 2.3</w:t>
      </w:r>
    </w:p>
    <w:p>
      <w:r>
        <w:t>Aux termes de l'art. 219 CP, est sanctionné celui qui aura violé son devoir d'assister ou d'élever une personne mineure dont il aura ainsi mis en danger le développement physique ou psychique, ou qui aura manqué à ce devoir (al. 1). Pour que l'art. 219 CP soit applicable, il faut que l'auteur ait eu envers une personne mineure un devoir d'assistance (protection) ou d'éducation (assurer le développement sur le plan corporel, spirituel et psychique du mineur). Cette obligation incombe notamment aux parents en raison de leur position de garant. Le contenu de l'obligation ne peut être défini de manière abstraite. Il appartient au juge de le déterminer, de cas en cas, en fonction des circonstances, compte tenu notamment du bien à protéger dans le cas concret, du sujet de la protection et du rapport entre le garant et la victime (ATF 125 IV 64 consid. 1a). L'auteur doit violer son devoir d'assistance ou d'éducation ou manquer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(arrêts du Tribunal fédéral 6B_1100/2016 du 25 octobre 2017 consid. 3.2, 6B_539/2010 du 30 mai 2011 consid. 4.2 et 6B_993/2008 du 20 mars 2009 consid. 2.1 avec les renvois).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(arrêt du Tribunal fédéral 6B_457/2013 du 29 octobre 2013 consid. 2). Du point de vue subjectif, l'infraction peut être commise tant intentionnellement, auquel cas le dol éventuel suffit, que par négligence. La gravité de la faute commise est déterminante. L'intention doit porter sur l'existence du devoir, son contenu, le fait qu'il soit violé et sur la mise en danger du développement de l'enfant (ATF 125 IV 64 consid. 1a et 2 ; M. DUPUIS / B. GELLER / G. MONNIER / L. MOREILLON / C. PIGUET / C. BETTEX / D. STOLL [éds], Code pénal - Petit commentaire , Bâle 2017, N 19 ad art. 219). 2.4.1. En l'espèce, par ordonnance du 8 décembre 2016, après instruction, le MP a classé la procédure s'agissant des faits reprochés au père, dès lors qu'aucun soupçon justifiant une mise en accusation n'était établi. Cette décision lie la CPAR. Elle exclut la culpabilité de E______. Il ne s'agit pas simplement d'un classement pour des raisons d'opportunité, en application de l'art. 54 CP, ou au bénéfice du doute. Aucun fait ou moyen de preuve nouveau n'est apparu depuis le prononcé de l'ordonnance de classement, laquelle est en force. Peu importe à cet égard de savoir si la prévenue avait l'intention de recourir puisque cela n'a pas été fait alors qu'elle était assistée de son précédent conseil. En tout état de cause, les mesures de substitution ont été levées le 14 octobre 2016, ce qui a de facto autorisé à nouveau l'exercice du droit aux relations personnelles tel que décidé par les autorités de protection de l'adulte et de l'enfant. L'innocence du père est établie judiciairement, si bien que les faits décrits par l'appelante dans sa plainte pénale et repris dans ses déclarations devant les autorités sont faux. Il est établi que la prévenue avait l'intention de faire ouvrir une procédure pénale à l'encontre de son ex-compagnon. Le dépôt d'une plainte pénale en bonne et due forme, par l'entremise d'un avocat, avait manifestement cet objectif. L'appelante ne le conteste d'ailleurs pas. Au vu du contexte familial extrêmement conflictuel, en raison principalement de l'obstination de l'appelante à empêcher le père de sa fille d'exercer son droit aux relations personnelles ( cf. infra consid. 2.4.2), il existe plusieurs éléments laissant penser que l'appelante savait le père de sa fille innocent au moment où elle a déposé sa plainte pénale. Dans cette hypothèse, elle aurait sciemment suggéré à son enfant de tenir ces propos. Cela étant, à la lecture du dossier, on ne peut exclure que la mère ait - sans en avoir conscience - suscité les déclarations tenues par C______, par des questions insistantes, déplacées ou malvenues avant et/ou après l'une voire chacune des quelques rencontres entre père et fille, instrumentalisant l'enfant. On ne dispose que de très peu d'information quant au dévoilement de C______ le 7 février 2016, si ce n'est que le vocabulaire employé par la mère lorsqu'elle a été entendue par la police est sensiblement le même que celui de sa fille lors de l'audition EVIG et de la consultation avec le Dr G______, selon son attestation du 10 février 2016 jointe à la plainte pénale de l'appelante. Cette absence de détail ne permet pas de choisir entre les deux hypothèses envisagées ci-dessus. Au vu de ce qui précède, un doute demeure quant à la connaissance par la prévenue de la fausseté de l'accusation. Le principe in dubio pro reo commande de prononcer son acquittement du chef de dénonciation calomnieuse. Le jugement entrepris sera modifié sur ce point. 2.4.2. La prévenue a fait obstacle à l'exercice du droit de visite du père sur sa fille et ainsi violé ses obligations de parent titulaire du droit de garde pendant la majeure partie de la période pénale, et notamment après le 8 décembre 2016. L'appelante a recouru à de multiples stratégies pour empêcher le droit de visite de son ex-compagnon sur leur fille dès sa naissance et jusqu'à janvier 2020. Dans le but d'écarter le père : -      la prévenue a cherché à instrumentaliser les thérapeutes, médecins et curateurs entourant la famille, comme il ressort des déclarations de nombre d'entre eux, par le biais notamment de demandes de rapports argumentant contre la reprise des droits de visite du père ; -      elle a recouru aux autorités pénales, alléguant que sa fille avait subi des scarifications de la part de son père, procédure classée ; -      elle a introduit de multiples recours contre les différentes ordonnances du TPAE ; -      les courriers du SPMi figurant à la procédure, de même que ceux rapportés dans la seconde expertise, font état d'une absence de collaboration de la prévenue avec le SPMi, qualifiée d'obstruction (ne répond pas ou seulement des mois plus tard, n'informe pas de l'évolution de la situation, met fin au suivi thérapeutique de sa fille après quelques séances, etc.). Ces comportements ont obligé le TPAE à intervenir régulièrement, notamment pour rappeler à l'appelante son obligation de collaborer. L'enfant, plutôt que d'être protégée de ce conflit par sa mère, s'est retrouvée au coeur de celui-ci et prise à parti. La fillette, qui n'a que très peu vu son père, n'a pas pu tisser de véritables liens de confiance avec lui. La lecture du dossier donne tout lieu de penser que si la situation s'est aujourd'hui améliorée, cela est essentiellement grâce aux conclusions de la seconde expertise qui préconisaient un retrait de la garde et le placement de l'enfant. Du 8 juillet au 14 octobre 2016, nonobstant la violation des décisions des autorités de protection de l'adulte et de l'enfant rappelées ci-dessus, il ne peut pas être reproché à l'appelante d'avoir entravé les relations personnelles entre sa fille et le père de celle-ci, dès lors que celui-là était sous le coup de mesures de substitution lui interdisant tout contact avec sa fille. Elle a par contre fait échec à la reprise du droit de visite à partir du 14 octobre suivant en violation de ses obligations parentales de la manière décrite ci-avant. L'appelante a ainsi illicitement privé le père de tout contact avec sa fille durant environ trois ans, soit de janvier à juillet 2016, puis à partir d'octobre 2016 jusqu'à la fin de la période pénale en février 2019. Contrairement au point de vue qu'elle a continuellement fait valoir, elle ne pouvait pas substituer sa propre appréciation ou celle des thérapeutes qu'elle avait choisis à celle des autorités de protection de l'enfant en empêchant l'exercice du droit de visite, motif pris de ses craintes au sujet du père de sa fille. Les faits reprochés au père de sa fille ont été classés en décembre 2016, de sorte qu'elle ne saurait invoquer la crainte de la commission de violences ou d'abus sexuels, comme motif à l'obstruction au droit de visite de celui-ci à partir de cette date. Il ne résulte pas non plus du dossier que l'exercice du droit de visite conformément aux modalités prévues aurait, à un moment ou l'autre des deux périodes en cause, mis directement en danger sa fille, d'autant plus que, dès le 8 février 2017, les relations personnelles auraient dû avoir lieu au sein de F______. Il ne fait aucun doute que les actes de la prévenue, laquelle a privé sa fille de père pendant une longue période de son enfance, ont impacté le développement psychique de la mineure, comme l'ont soulevé à maintes reprises les professionnels entourant la famille (SPMi, TPAE, experts). Partant, le verdict de culpabilité de violation du devoir d'assistance et d'éducation retenu par le premier juge sera confirmé.</w:t>
      </w:r>
    </w:p>
    <w:p>
      <w:r>
        <w:rPr>
          <w:b/>
        </w:rPr>
        <w:t>E. 3.1</w:t>
      </w:r>
    </w:p>
    <w:p>
      <w:r>
        <w:t>La violation du devoir d'assistance ou d'éducation est passible d'une peine privative de liberté de trois ans au plus ou d'une peine pécuniaire (art. 219 al. 1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w:t>
      </w:r>
    </w:p>
    <w:p>
      <w:r>
        <w:rPr>
          <w:b/>
        </w:rPr>
        <w:t>E. 3.3</w:t>
      </w:r>
    </w:p>
    <w:p>
      <w:r>
        <w:t>Aux termes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3.4</w:t>
      </w:r>
    </w:p>
    <w:p>
      <w:r>
        <w:t>En l'espèce, l'appelante ne conteste pas spécifiquement la nature et la quotité de la peine fixée par le premier juge. Sa faute est sérieuse. Dans le contexte du conflit aigu l'opposant à son ex-compagnon, elle est parvenue à écarter le père de sa fille pendant une grande partie de la procédure pénale. Elle a fait fi des décisions de justice rendues, des recommandations des autorités de protection de l'adulte et de l'enfant, des conclusions des deux expertises familiales, persistant à s'opposer aux droits de visite du père de sa fille. La période pénale est longue et l'appelante a agi avec une grande détermination, pour ne pas dire obstination. Son mobile, égoïste, relève de l'envie de nuire à autrui ou d'un sentiment déplacé d'exclusivité dans ses liens avec sa fille, au mépris du droit, essentiel, du père comme de l'enfant d'entretenir des relations personnelles. Tant sa collaboration au cours de la procédure que sa prise de conscience sont inexistantes. L'appelante persiste - en appel encore - à nier les faits reprochés et à réitérer être persuadée que ceux faussement attribués au père, pourtant classés, ont été commis. Rien dans la situation personnelle de la prévenue ne justifie ses agissements. Au demeurant, les angoisses qu'elle prétend avoir eu à l'idée de laisser sa fille avec son père, ne trouvent aucun fondement à teneur du dossier de la procédure. Cela est particulièrement le cas pour plus de la moitié de la période pénale durant laquelle le droit de visite de son ex-compagnon aurait dû s'exercer au sein de F______. La fillette aurait donc toujours été entourée de professionnels, dans un cadre sécurisé. De toute évidence, aucun motif de classement en opportunité n'est réalisé en l'espèce (art. 8 CPP ; art. 52 CP). Tant la culpabilité de l'appelante que les conséquences de ses actes sont importantes. Elle a pendant plusieurs années oeuvré - avec succès - à séparer sa fille du père de celle-ci, leur causant un tort certain et perturbant le développement psychique de l'enfant. La prévenue n'a pas exprimé de regrets et continue en appel à affirmer être persuadée de la culpabilité de son ex-compagnon. L'appelante n'a pas d'antécédent. Elle avait déjà oeuvré à l'ouverture d'une procédure pénale contre le père de sa fille en 2012. Au vu de ce qui précède, une peine de 60 jours-amende est appropriée pour sanctionner l'infraction à l'art. 219 CP, ce qui ne péjore pas le sort de l'appelante, tel qu'il résultait du dispositif du jugement entrepris. Le bénéfice du sursis est acquis à l'appelante, de même que le délai d'épreuve de trois ans. Le jugement querellé sera partant modifié sur ce point.</w:t>
      </w:r>
    </w:p>
    <w:p>
      <w:r>
        <w:rPr>
          <w:b/>
        </w:rPr>
        <w:t>E. 4.1</w:t>
      </w:r>
    </w:p>
    <w:p>
      <w:r>
        <w:t>L'appelante, qui succombe partiellement, supportera la moitié des frais de la procédure envers l'Etat qui comprennent un émolument de décision de CHF 2'000.- (art. 428 CPP).</w:t>
      </w:r>
    </w:p>
    <w:p>
      <w:r>
        <w:rPr>
          <w:b/>
        </w:rPr>
        <w:t>E. 4.2</w:t>
      </w:r>
    </w:p>
    <w:p>
      <w:r>
        <w:t>Les frais mis à la charge de la prévenue en première instance ne seront réduits que dans une faible mesure. Les faits en lien avec les deux infractions qui lui étaient reprochées sont sensiblement les mêmes. L'instruction aurait été menée de manière semblable si la dénonciation calomnieuse avait été écartée d'emblée. Dès lors, 5/6 èmes des frais de la procédure préliminaire et de première instance seront mis à sa charge.</w:t>
      </w:r>
    </w:p>
    <w:p>
      <w:r>
        <w:rPr>
          <w:b/>
        </w:rPr>
        <w:t>E. 5.1</w:t>
      </w:r>
    </w:p>
    <w:p>
      <w:r>
        <w:t>Selon l'art. 429 al. 1 let. a CPP, si le prévenu est acquitté totalement ou en partie ou s'il bénéficie d'une ordonnance de classement, il a droit à une indemnité pour les dépenses occasionnées par l'exercice raisonnable de ses droits de procédure. La question de l'indemnisation du prévenu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(ATF 137 IV 352 consid. 2.4.2 ; arrêts du Tribunal fédéral 6B_1258/2018 du 24 janvier 2019 consid. 3.1 et 6B_1268/2018 du 15 février 2019 consid. 4.1).</w:t>
      </w:r>
    </w:p>
    <w:p>
      <w:r>
        <w:rPr>
          <w:b/>
        </w:rPr>
        <w:t>E. 5.2</w:t>
      </w:r>
    </w:p>
    <w:p>
      <w:r>
        <w:t>Partant, conformément au parallélisme applicable entre frais et indemnisation, la prévenue sera indemnisée à hauteur de 1/6 ème des dépenses encourues pour la défense de ses intérêts durant la procédure préliminaire et de première instance, soit CHF 2'244.35.</w:t>
      </w:r>
    </w:p>
    <w:p>
      <w:r>
        <w:rPr>
          <w:b/>
        </w:rPr>
        <w:t>E. 5.3</w:t>
      </w:r>
    </w:p>
    <w:p>
      <w:r>
        <w:t>Dûment interpellée, l'appelante n'a pas formulé de conclusions en indemnisation pour la procédure d'appel. Elle est donc réputée y avoir renoncé (ATF 146 IV 332 ).</w:t>
      </w:r>
    </w:p>
    <w:p>
      <w:r>
        <w:rPr>
          <w:b/>
        </w:rPr>
        <w:t>E. 5.4</w:t>
      </w:r>
    </w:p>
    <w:p>
      <w:r>
        <w:t>Conformément à l'art. 442 al. 4 CPP, la part des frais de la procédure supportée par l'appelante sera compensée à due concurrence avec l'indemnité qui lui est octroyée pour ses frais de défense (arrêt du Tribunal fédéral 6B_648/2016 du 4 avril 2017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