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P/5005/2016 vom 21. Februar 2018</w:t>
      </w:r>
    </w:p>
    <w:p>
      <w:r>
        <w:t>GE Cour de justice, 2018-02-21, FR</w:t>
      </w:r>
    </w:p>
    <w:p>
      <w:r>
        <w:rPr>
          <w:b/>
        </w:rPr>
        <w:t xml:space="preserve">Quelle: </w:t>
      </w:r>
      <w:r>
        <w:t>https://mcp.opencaselaw.ch/entscheid/ge_gerichte_P_5005_2016</w:t>
      </w:r>
    </w:p>
    <w:p>
      <w:r>
        <w:t>FR: GE_GERICHTE P/5005/2016 du 21 février 2018</w:t>
      </w:r>
    </w:p>
    <w:p>
      <w:r>
        <w:t>IT: GE_GERICHTE P/5005/2016 del 21 febbraio 2018</w:t>
      </w:r>
    </w:p>
    <w:p>
      <w:pPr>
        <w:pStyle w:val="Heading2"/>
      </w:pPr>
      <w:r>
        <w:t>Regeste</w:t>
      </w:r>
    </w:p>
    <w:p>
      <w:r>
        <w:t>EXPULSION(DROIT PÉNAL) | CP.139; LEtr.115.al1; LStup.19a; CP.66abis; CPP.436.al1; CPP.135.al1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les mesures qui ont été ordonnées (let. c). La Chambre limite son examen aux violations décrites dans l'acte d'appel (art. 404 al. 1 CPP), sauf en cas de décisions illégales ou inéquitables (art. 404 al. 2 CPP).</w:t>
      </w:r>
    </w:p>
    <w:p>
      <w:r>
        <w:rPr>
          <w:b/>
        </w:rPr>
        <w:t>E. 2.1</w:t>
      </w:r>
    </w:p>
    <w:p>
      <w:r>
        <w:t>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Les dispositions sur l'expulsion ne s'appliquent donc qu'aux infractions commises à partir du 1 er octobre 2016.</w:t>
      </w:r>
    </w:p>
    <w:p>
      <w:r>
        <w:rPr>
          <w:b/>
        </w:rPr>
        <w:t>E. 2.2</w:t>
      </w:r>
    </w:p>
    <w:p>
      <w:r>
        <w:t>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En toute hypothèse, le juge ne peut pas prononcer totalement librement une telle expulsion lorsque celle-ci induirait un cas de rigueur aux termes de l'art. 66a al. 2 CP. Il doit alors en examiner d'office successivement les deux conditions cumulatives : un cas de rigueur doit mettre l'étranger dans une situation personnelle grave et l'intérêt public doit être de peu d'importance (M. BUSSLINGER / P. UEBERSAX, op. cit. , p. 96 ss ; AARP/185/2017 du 2 juin 2017 consid. 2.2). Pour fonder un cas de rigueur, il est nécessaire que la somme de toutes les difficultés induites par une expulsion affecte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 p. 101 ; G. FIOLKA / L. VETTERLI, op. cit. , p. 87 ; AARP/185/2017 du 2 juin 2017 consid. 2.2). Par suite, tant l'application de l'art. 66a al. 2 CP que de l'art. 66a bis CP imposent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 p. 166 ; M. BUSSLINGER / P. UEBERSAX, op. cit. , p. 97 et 103 ; K. KÜMIN, op. cit. , p. 14 ; AARP/185/2017 du 2 juin 2017 consid. 2.2). Les critères déterminants mis en exergue par la jurisprudence rendue sur l'art. 8 CEDH sont applicables à la pesée des intérêts des art. 66a al. 2 et 66a bis CP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 er décembre 2016 consid. 5.2 ; S. GRODECKI, Nouveautés en droit des sanctions : de la peine pécuniaire à l'expulsion , Conférence organisée par le Comité de la Société genevoise de droit et de législation, janvier 2017 ; G. MÜNCH / F. DE WECK, op. cit. , p. 166 ; AARP/179/2017 du 30 mai 2017 consid. 3.1.3). Les antécédents judiciaires antérieurs au 1 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La prise en considération de l'état de santé de l'intéressé se justifie. La doctrine estime ainsi que l'art. 66a al. 2 CP peut être réalisé lorsque celui-ci souffre d'une maladie nécessitant des soins médicaux. Il faut alors analyser comment son état de santé risque de se péjorer et quelles prestations médicales devront être fournies, ainsi que clarifier si ces prestations ne pourront en aucun cas être fournies dans l'État d'origine et quels inconvénients pourraient en découler. Si des possibilités suffisantes de soins ne peuvent pas être établies, il doit être supposé qu'elles n'existent pas.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À pondération égale, l'intérêt privé prime sur l'intérêt public (G. FIOLKA / L. VETTERLI , op. cit. , p. 85 et 87 ; M. BUSSLINGER / P. UEBERSAX, op. cit. , p. 102 ; AARP/185/2017 du 2 juin 2017 consid. 2.2). Dans un arrêt PAPOSHVILI c/ Belgique du 13 décembre 2016 (Grande Chambre, requête no 41738/10), la Cour européenne des droits de l'homme a considéré que l'expulsion d'un criminel gravement malade (atteint notamment d'une leucémie avec pronostic vital engagé et d'une hépatite C) vers la Géorgie était contraire à l'art. 3 CEDH. La jurisprudence de la CourEDH ne reconnait que restrictivement une violation de l'art. 3 CEDH en cas de défaut de traitement médical approprié dans le pays d'origine. Il est en effet nécessaire de se trouver face à des " considérations humanitaires impérieuses ". Ainsi, la décision d'expulser un étranger qui souffre d'une maladie mentale grave dans un pays où les possibilités de traitement sont moindres par rapport à celles disponibles dans l'État contractant peut soulever une question au titre de l'art. 3 CEDH seulement dans un cas exceptionnel, et non simplement du fait que la situation d'une personne dans son pays d'origine serait moins favorable que celle dont elle jouit dans le pays d'accueil (arrêt CEDH D. c. Royaume-Uni , requête n° 30240796, 2 mai 1997, § 54 ; arrêt CEDH Emre c. Suisse , requête n° 42034/04, 22 mai 2008, § 89 ss ; arrêt CEDH Tatar c. Suisse , requête n° 65692/12, 14 avril 2015, § 43 ; AARP/185/2017 du 2 juin 2017 consid. 2.2). Dans un arrêt 24 novembre 2017, la Cour de céans a considéré, s'agissant d'un prévenu déclarant en particulier souffrir de toxicomanie, qu'un système de santé et de soins, ainsi que du personnel formé à ce titre, existait en Algérie. Le fait que les possibilités de traitement y soient moindres, ce qui n'était pas exclu, ne justifiait pas pour autant un intérêt personnel particulièrement prononcé à la poursuite hypothétique d'un tel traitement en Suisse ( AARP/400/2017 consid. 2.2).</w:t>
      </w:r>
    </w:p>
    <w:p>
      <w:r>
        <w:rPr>
          <w:b/>
        </w:rPr>
        <w:t>E. 2.3</w:t>
      </w:r>
    </w:p>
    <w:p>
      <w:r>
        <w:t>En l'espèce, le prévenu ayant été définitivement reconnu coupable de tentative de vol, de séjour illégal et d'entrée illégale ainsi que d'infraction à l'art. 19a ch. 1 LStup, son expulsion est facultative (art. 66a bis CP), étant précisé que seules les infractions commises après le 1 er octobre 2016, peuvent être prises en considération s'agissant du principe de l'expulsion.</w:t>
      </w:r>
    </w:p>
    <w:p>
      <w:r>
        <w:rPr>
          <w:b/>
        </w:rPr>
        <w:t>E. 2.3.1</w:t>
      </w:r>
    </w:p>
    <w:p>
      <w:r>
        <w:t>Contrairement à ce qui a été retenu par le premier juge, on ne saurait considérer que l'intimé est plutôt bien intégré en Suisse. En effet, bien que, selon ses dires, il soit arrivé en 1999 et qu'il ait été marié à une suissesse, bénéficiant de ce fait d'un permis B, grâce auquel il a pu travailler légalement pendant quelques années, il n'en demeure pas moins qu'il n'a tissé aucun lien particulier avec ce pays, où il n'a aucun membre de sa famille, pas de moyens d'existence ni même de domicile. Il ne prétend pas non plus y avoir d'attaches socio-affectives. Au contraire, son divorce semble l'avoir plongé dans une situation de précarité le prédisposant à commettre des délits, comme en témoignent les très nombreuses condamnations prononcées depuis lors à son encontre. Même s'il maîtrise le français, ses chances de réintégration sont plus que ténues, compte tenu de son absence de formation, mais surtout de son statut juridique au regard du droit des étrangers, étant rappelé que sa demande d'asile a été rejetée et qu'il fait actuellement l'objet d'une interdiction d'entrée. Le prévenu a passablement varié s'agissant de son projet d'avenir, indiquant vouloir faire table rase du passé et rejoindre son oncle en France ou encore sa mère en Algérie, de sorte que l'on ne peut attribuer de crédit à ses propos et donc considérer qu'il ne va pas persister dans son chemin de vie marqué par les multiples transgressions dont il s'est rendu coupable.</w:t>
      </w:r>
    </w:p>
    <w:p>
      <w:r>
        <w:rPr>
          <w:b/>
        </w:rPr>
        <w:t>E. 2.3.2</w:t>
      </w:r>
    </w:p>
    <w:p>
      <w:r>
        <w:t>L'intimé allègue avoir vécu des épisodes dépressifs consécutifs à son divorce et être toxicomane, raison pour laquelle il aurait entrepris un suivi au CAAP. Outre le fait que ces éléments ne sont pas établis par la procédure, l'intéressé n'allègue pas non plus que son retour en Algérie pourrait lui porter préjudice, au contraire puisque ses parents et ses quatre frères et sœurs y vivent encore et qu'il entretient de bonnes relations avec eux, ce qui serait de nature à diminuer son mal-être et à favoriser sa réintégration, malgré un départ datant de presque 20 ans. Au surplus, il serait à même de suivre un traitement anti-addictions également en Algérie. Il s'ensuit qu'à teneur du dossier, une expulsion n'aura pas pour effet de créer pour le prévenu une situation grave au sens de l'art. 66a al. 2 CP.</w:t>
      </w:r>
    </w:p>
    <w:p>
      <w:r>
        <w:rPr>
          <w:b/>
        </w:rPr>
        <w:t>E. 2.3.3</w:t>
      </w:r>
    </w:p>
    <w:p>
      <w:r>
        <w:t>S'agissant de l'intérêt public à ce qu'il soit expulsé de Suisse, la CPAR relève que depuis 2008, le prévenu a fait l'objet de onze condamnations à des intervalles réguliers, sans compter celle issue de la présente procédure, ce qui ne saurait être minimisée. Certes, il n'a jamais été condamné à une peine privative de liberté supérieure à six mois, dès lors qu'il s'est rendu coupable d'infractions de peu de gravité exemptes de violence, mais il totalise, entre le ___ 2010 et le ___ 2017, approximativement deux ans de détention notamment pour de nombreux délits contre le patrimoine. Même si les infractions reprochées à l'intimé dans le cadre de la procédure litigieuse sont elles aussi d'une dangerosité relative, force est de constater qu'il a récidivé notamment un mois après sa dernière condamnation en détenant illicitement de l'héroïne et, surtout, un peu plus de sept mois après en tentant de commettre un vol, considérant une telle activité comme une façon admissible de se procurer de l'argent. Il existe manifestement un intérêt public à ce que ce type de comportement cesse. En conclusion, l'intérêt public au renvoi de l'appelant en Algérie prime sur l'intérêt de celui-ci à rester en Suisse.</w:t>
      </w:r>
    </w:p>
    <w:p>
      <w:r>
        <w:rPr>
          <w:b/>
        </w:rPr>
        <w:t>E. 2.3.4</w:t>
      </w:r>
    </w:p>
    <w:p>
      <w:r>
        <w:t>Au vu des éléments exposés ci-dessus, une expulsion pour trois ans, durée minimale prévue par la loi, est adéquate et proportionnée aux circonstances du cas d'espèce, de sorte que l'appel sera partiellement admis et la décision du premier juge modifiée sur ce point.</w:t>
      </w:r>
    </w:p>
    <w:p>
      <w:r>
        <w:rPr>
          <w:b/>
        </w:rPr>
        <w:t>E. 3.1</w:t>
      </w:r>
    </w:p>
    <w:p>
      <w:r>
        <w:t>En vertu de l'art. 436 al. 1 CPP, les prétentions en indemnité dans les procédures de recours sont régies par les art. 429 à 434 CPP. En cas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(art. 431 al. 2 CPP). Il y a détention excessive (" Überhaft ") lorsque la détention pour des motifs de sûreté a été ordonnée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p. 238 ; arrêt du Tribunal fédéral 6B_343/2015 du 2 février 2016 consid. 1.2.4). Conformément à l'art. 51 CP, l'art. 431 al. 2 CPP pose la règle que la détention excessive est d'abord imputée sur une autre sanction et ne peut donner lieu à une indemnisation que si aucune imputation n'est possible. L'imputation de la détention intervient, en premier lieu, sur les peines privatives de liberté et, en second lieu, sur les autres peines comme la peine pécuniaire, le travail d'intérêt général et l'amende. La compensation sous la forme de l'indemnisation est subsidiaire. L'intéressé n'a aucun droit de choisir entre l'indemnisation ou l'imputation (ATF 141 IV 236 consid. 3.3 ; arrêts du Tribunal fédéral 6B_343/2015 du 2 février 2016 consid. 1.2.4 ; 6B_558/2013 du 13 décembre 2013 consid. 1.5 ; 6B_169/2012 du 25 juin 2012 consid. 6 ; 1B_179/2011 du 17 juin 2011 consid. 4.2).</w:t>
      </w:r>
    </w:p>
    <w:p>
      <w:r>
        <w:rPr>
          <w:b/>
        </w:rPr>
        <w:t>E. 3.2</w:t>
      </w:r>
    </w:p>
    <w:p>
      <w:r>
        <w:t>En l'espèce, l'intimé a certes été condamné à une peine privative de liberté de six mois, alors qu'il a subi une détention de 181 jours, mais également à une amende de CHF 100.-, pour laquelle une peine privative de liberté de substitution d'un jour a été prononcée. Ainsi, un solde de peine non exécuté d'un jour demeure, duquel il convient d'imputer le jour de détention pour des motifs de sûreté subi le 16 août 2017. L'intimé sera dès lors débouté de ses prétentions en indemnisation.</w:t>
      </w:r>
    </w:p>
    <w:p>
      <w:r>
        <w:rPr>
          <w:b/>
        </w:rPr>
        <w:t>E. 4</w:t>
      </w:r>
    </w:p>
    <w:p>
      <w:r>
        <w:t>Le Ministère public obtenant gain de cause pour l'essentiel, l'intimé sera condamnée aux trois quarts des frais de la procédure d'appel, comprenant dans leur totalité un émolument d'arrêt de CHF 1'200.-, le solde étant laissé à la charge de l'Etat (art. 428 CPP et art. 14 al. 1 let. e du Règlement fixant le tarif des frais en matière pénale du 22 décembre 2010 [RTFMP - E 4 10.03]).</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5.2</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rPr>
          <w:b/>
        </w:rPr>
        <w:t>E. 5.3</w:t>
      </w:r>
    </w:p>
    <w:p>
      <w:r>
        <w:t>En l'espèce, considéré dans sa globalité, l'état de frais produit par le défenseur d'office de A______ paraît adéquat et conforme aux principes qui précèdent, de sorte qu'il n'est pas nécessaire d'en reprendre le détail. Aussi, l'indemnité de CHF 1'123.20, correspondant à 4 heures et 20 minutes d'activité au tarif de CHF 200.-/heure (CHF 866.70), plus la majoration forfaitaire de 20% (CHF 173.30) et l'équivalent de la TVA au taux de 8% en CHF 83.20,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