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P/4958/2021 vom 29. September 2025</w:t>
      </w:r>
    </w:p>
    <w:p>
      <w:r>
        <w:t>GE Cour de justice, 2025-09-29, FR</w:t>
      </w:r>
    </w:p>
    <w:p>
      <w:r>
        <w:rPr>
          <w:b/>
        </w:rPr>
        <w:t xml:space="preserve">Quelle: </w:t>
      </w:r>
      <w:r>
        <w:t>https://mcp.opencaselaw.ch/entscheid/ge_gerichte_P_4958_2021</w:t>
      </w:r>
    </w:p>
    <w:p>
      <w:r>
        <w:t>FR: GE_GERICHTE P/4958/2021 du 29 septembre 2025</w:t>
      </w:r>
    </w:p>
    <w:p>
      <w:r>
        <w:t>IT: GE_GERICHTE P/4958/2021 del 29 settembre 2025</w:t>
      </w:r>
    </w:p>
    <w:p>
      <w:pPr>
        <w:pStyle w:val="Heading2"/>
      </w:pPr>
      <w:r>
        <w:t>Regeste</w:t>
      </w:r>
    </w:p>
    <w:p>
      <w:r>
        <w:t>ORDONNANCE DE CLASSEMENT;ADMINISTRATION DES PREUVES;LÉSION CORPORELLE PAR NÉGLIGENCE;VOIE PUBLIQUE;TROTTOIR;AÉRATION;PROPRIÉTÉ;ASSISTANCE JUDICIAIRE | CPP.319.al1.letb; CP.125.al1; CPP.139.al2; CPP.136.al1.letb</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lésée,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poursuivi, aux côtés de E______, les propriétaires et responsables de la grille, soit notamment de B______ et C______ ainsi que la Ville de Genève, du chef de lésions corporelles par négligence.</w:t>
      </w:r>
    </w:p>
    <w:p>
      <w:r>
        <w:rPr>
          <w:b/>
        </w:rPr>
        <w:t>E. 3.1</w:t>
      </w:r>
    </w:p>
    <w:p>
      <w:r>
        <w:t>Aux termes de l'art. 319 al. 1 CPP, le ministère public ordonne le classement de tout ou partie de la procédure notamment lorsque les éléments constitutifs d'une infraction ne sont pas réunis (let. b). Selon la jurisprudence, cette disposition doit être appliquée conformément à l'adage "in dubio pro duriore" . Celui-ci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3.2.1. L'art. 125 al. 1 CP [dans sa teneur en vigueur au moment des faits; art. 2 CP] punit, sur plainte, celui qui, par négligence, aura fait subir à une personne une atteinte à l'intégrité corporelle ou à la santé. Cette disposition suppose la réalisation de trois conditions : une négligence, une atteinte à l'intégrité physique et un lien de causalité naturelle et adéquate entre ces deux éléments. 3.2.2.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3.2.3.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arrêt du Tribunal fédéral 6B_1063/2013 du 2 septembre 2014 consid. 3.2). 3.2.4. L'infraction de lésions corporelles par négligence suppose en règle générale un comportement actif. Elle peut toutefois aussi être réalisée par le fait d'un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134 IV 255 consid. 4.2.1; arrêts du Tribunal fédéral 6B_244/2019 du 10 avril 2019 consid. 3.1; 6B_315/2016 du 1 er novembre 2016 consid. 4.1; 6B_614/2014 du 1 er décembre 2014 consid. 1). 3.2.5. La violation fautive d'un devoir de prudence doit avoir été la cause naturelle et adéquate des lésions subies par la victime (ATF 133 IV 158 consid. 6; 129 IV 119 consid. 2.4). Un comportement est la cause naturelle d'un résultat s'il en constitue l'une des conditions sine qua non , c'est-à-dire si, sans lui, le résultat ne s'était pas produit; il s'agit là d'une question de fait (ATF 133 IV 158 consid. 6.1; 125 IV 195 consid. 2b). Il en est la cause adéquate lorsque, d'après le cours ordinaire des choses et l'expérience de la vie, il est propre à entraîner un résultat du genre de celui qui s'est produit (ATF 133 IV 158 consid. 6.1; 131 IV 145 consid. 5.1).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134 IV 255 consid. 4.4.2; arrêts du Tribunal fédéral 6B_315/2016 du 1 er novembre 2016 consid. 5 et 6B_466/2016 du 23 mars 2017). 3.3.1. En l'espèce, il est constant que, le 31 mai 2018, alors qu'elle cheminait normalement sur le trottoir, la recourante a marché sur la grille d'un saut-de-loup, laquelle, légèrement déplacée, a basculé sous son poids, ce qui a entraîné sa chute dans un trou et lui a occasionné, à tout le moins, des lésions corporelles simples, plainte pénale ayant été déposée en temps utile. Il est également établi que cet accident a été directement causé par un acte de la dénommée E______, laquelle avait, peu avant le passage de la recourante, soulevé et déplacé la grille en question, avant de quitter les lieux sans vérifier que celle-ci fût correctement replacée. 3.3.2. La recourante fait grief au Ministère public de ne pas avoir considéré que l'omission de la Ville de Genève ainsi que de B______ et C______ de bloquer la grille en question avaient contribué à la survenance de l'évènement, et des lésions corporelles subies. Aucun élément ne permet toutefois de retenir que les mis en cause auraient violé fautivement un devoir de prudence. En effet, il résulte des investigations complètes menées par le Ministère public qu'il n'existait alors pas de réglementation spécifique pour les grilles servant à la ventilation des sous-sols et que la grille en question ne faisait l'objet d'aucun défaut ( supra , let. B.h ). Les mis en cause n'ont donc pas violé de règles ni n'ont enfreint un devoir de prudence. En tout état de cause, l'omission éventuelle de B______ et C______ ou de la Ville de Genève de ne pas avoir précédemment bloqué la grille ne saurait vraisemblablement être assimilée au comportement actif de E______ de l'avoir déplacée sans aucun motif digne de protection. 3.3.3. Sous l'angle de la causalité adéquate, l'acte de E______ n'était pas prévisible, le Juge des mineurs ayant du reste relevé que son jeune âge ne l'empêchait pas de se rendre compte du danger créé. Constituant la cause la plus immédiate de l'accident, le comportement de la précitée a effectivement relégué à l'arrière-plan le fait que la grille n'était pas bloquée. 3.3.4. Il s'ensuit qu'un acquittement des mis en cause apparaît bien plus vraisemblable que leur condamnation, les éléments constitutifs de l'art. 125 CP n'étant a priori pas réunis en ce qui les concerne. 3.3.5. Compte tenu de ce qui précède, les auditions sollicitées par la recourante ne sont pas utiles, celles-ci, ni aucune autre mesure d'instruction, n'apparaissant propre à modifier l'appréciation exposée ci-avant (art. 139 al. 2 CPP).</w:t>
      </w:r>
    </w:p>
    <w:p>
      <w:r>
        <w:rPr>
          <w:b/>
        </w:rPr>
        <w:t>E. 4</w:t>
      </w:r>
    </w:p>
    <w:p>
      <w:r>
        <w:t>Justifiée, l'ordonnance querellée sera donc confirmée.</w:t>
      </w:r>
    </w:p>
    <w:p>
      <w:r>
        <w:rPr>
          <w:b/>
        </w:rPr>
        <w:t>E. 5</w:t>
      </w:r>
    </w:p>
    <w:p>
      <w:r>
        <w:t>La recourante sollicite l'assistance judiciaire pour le recours.</w:t>
      </w:r>
    </w:p>
    <w:p>
      <w:r>
        <w:rPr>
          <w:b/>
        </w:rPr>
        <w:t>E. 5.1</w:t>
      </w:r>
    </w:p>
    <w:p>
      <w:r>
        <w:t>L'assistance judiciaire ne peut être accordée qu'à la condition que la démarche à entreprendre et l'action pénale ne soient pas vouées à l'échec, comme le prévoient les art. 29 al. 3 Cst. et 136 al.1 let. b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rPr>
          <w:b/>
        </w:rPr>
        <w:t>E. 5.2</w:t>
      </w:r>
    </w:p>
    <w:p>
      <w:r>
        <w:t>En l'espèce, compte tenu de l'issue du recours, celui-ci était manifestement voué à l'échec, de sorte qu'il n'y a pas lieu d'entrer en matière sur la requête d'assistance judiciaire.</w:t>
      </w:r>
    </w:p>
    <w:p>
      <w:r>
        <w:rPr>
          <w:b/>
        </w:rPr>
        <w:t>E. 6</w:t>
      </w:r>
    </w:p>
    <w:p>
      <w:r>
        <w:t>La recourante, qui succombe, supportera les frais envers l'État, qui seront fixés à CHF 800.- (art. 428 al. 1 CPP et 13 al. 1 du Règlement fixant le tarif des frais en matière pénale, RTFMP; E 4 10.03) pour tenir compte de sa situation financière.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