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P/4953/2025 vom 20. März 2025</w:t>
      </w:r>
    </w:p>
    <w:p>
      <w:r>
        <w:t>GE Cour de justice, 2025-03-20, FR</w:t>
      </w:r>
    </w:p>
    <w:p>
      <w:r>
        <w:rPr>
          <w:b/>
        </w:rPr>
        <w:t xml:space="preserve">Quelle: </w:t>
      </w:r>
      <w:r>
        <w:t>https://mcp.opencaselaw.ch/entscheid/ge_gerichte_P_4953_2025</w:t>
      </w:r>
    </w:p>
    <w:p>
      <w:r>
        <w:t>FR: GE_GERICHTE P/4953/2025 du 20 mars 2025</w:t>
      </w:r>
    </w:p>
    <w:p>
      <w:r>
        <w:t>IT: GE_GERICHTE P/4953/2025 del 20 marzo 2025</w:t>
      </w:r>
    </w:p>
    <w:p>
      <w:pPr>
        <w:pStyle w:val="Heading2"/>
      </w:pPr>
      <w:r>
        <w:t>Regeste</w:t>
      </w:r>
    </w:p>
    <w:p>
      <w:r>
        <w:t>ORDONNANCE DE NON-ENTRÉE EN MATIÈRE;VOL(DROIT PÉNAL);USURPATION D'IDENTITÉ;CONTRAINTE(DROIT PÉNAL);SOUPÇON;DROITS STRICTEMENT PERSONNELS | CPP.310.al1.leta; CP.139; CP.179decies; CP.181; CPP.106.al3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Pour le surplus, le seul fait que la recourante soit au bénéfice d'une curatelle de représentation et de gestion depuis le mois d'octobre 2024 ne suffit pas à démontrer son éventuelle incapacité de discernement [l'ordonnance DTAE/8612/2024 citée supra ne l'évoquant pas]. Partant, il sera retenu qu'elle peut interjeter personnellement le présent recours, lequel relève de l'exercice d'un droit procédural de nature strictement personnel (art. 106 al. 3 CPP).</w:t>
      </w:r>
    </w:p>
    <w:p>
      <w:r>
        <w:rPr>
          <w:b/>
        </w:rPr>
        <w:t>E. 2</w:t>
      </w:r>
    </w:p>
    <w:p>
      <w:r>
        <w:t>La recourante reproche au Ministère public de ne pas être entré en matière sur sa plainte.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w:t>
      </w:r>
    </w:p>
    <w:p>
      <w:r>
        <w:rPr>
          <w:b/>
        </w:rPr>
        <w:t>E. 2.2</w:t>
      </w:r>
    </w:p>
    <w:p>
      <w:r>
        <w:t>L'art. 139 CP punit quiconque, pour se procurer ou procurer à un tiers un enrichissement illégitime, soustrait une chose mobilière appartenant à autrui dans le but de se l’approprier.</w:t>
      </w:r>
    </w:p>
    <w:p>
      <w:r>
        <w:rPr>
          <w:b/>
        </w:rPr>
        <w:t>E. 2.3</w:t>
      </w:r>
    </w:p>
    <w:p>
      <w:r>
        <w:t>L'art. 179 decies CP réprime quiconque utilise l’identité d’une autre personne sans son consentement dans le dessein de lui nuire ou de se procurer ou de procurer à un tiers un avantage illicite.</w:t>
      </w:r>
    </w:p>
    <w:p>
      <w:r>
        <w:rPr>
          <w:b/>
        </w:rPr>
        <w:t>E. 2.4</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w:t>
      </w:r>
    </w:p>
    <w:p>
      <w:r>
        <w:rPr>
          <w:b/>
        </w:rPr>
        <w:t>E. 2.5</w:t>
      </w:r>
    </w:p>
    <w:p>
      <w:r>
        <w:t>En l'espèce, la recourante soutient qu'un ou des individu(s) souhaiteraient " s'emparer " de ses biens, dont l'héritage laissé par sa mère. À bien la comprendre, elle les soupçonne d'avoir usurpé son identité, celle de son fils et celle de feu sa mère pour parvenir à leurs fins. Aucun des éléments matériels qu'elle produit à cet égard n'est toutefois susceptible d'étayer ses soupçons. Des extraits de factures téléphoniques – à son nom – et un avis de débit – en sa faveur – ne sont pas suffisants pour fonder une quelconque prévention pénale. Elle n'explique pas non plus de quelle manière ces individus auraient pu, contre son gré, avoir accès à ses comptes et coffres bancaires, ainsi qu'à son téléphone. S'agissant des atteintes à sa liberté [par l'instauration, contre son gré, d'une curatelle] et à sa vie, dénoncées dans sa plainte, elle n'a fourni aucune explication ni justification qui permettrait de fonder ses soupçons. Elle n’allègue d'ailleurs pas avoir subi une quelconque atteinte à son intégrité corporelle. Ainsi, hormis les déclarations et convictions de la recourante, le dossier ne recèle aucun indice concret et concluant laissant à penser qu'un ou des individu(s) (notamment employé de banque) voudraient ou se seraient approprié ses biens – contre son gré –, en se faisant passer pour elle ou un membre de sa famille et/ou en cherchant à la mettre sous curatelle, voire à attenter à sa vie. Partant, les soupçons de la recourante sur " divers gangs " ne permettent pas de retenir une prévention pénale suffisante des infractions dénoncées et justifier l'ouverture d'une instruction. La mesure d'instruction sollicitée [prélèvement d'empreinte] ne paraît, en outre, pas à même de modifier le constat qui précède et orienter des soupçons sur une personne précise, la recourante n'expliquant au demeurant pas en quoi l'analyse du contenu de l'enveloppe serait pertinente pour l'issue de la cause. Pour le surplus, en tant que la recourante semble considérer que l'instauration d'une curatelle n'aurait pas lieu d'être, la Chambre de céans relève qu'elle n'est pas compétente pour statuer sur ce point, lequel est de la compétence du TPAE, voire de la Chambre de surveillance de la Cour de justice, en cas de recours contre les décisions prises par le Tribunal précité. Il s'ensuit que la décision du Ministère public ne prête pas le flanc à la critique.</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La recourante, qui succombe, supportera les frais envers l'État,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