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P/4950/2019 vom 9. Februar 2022</w:t>
      </w:r>
    </w:p>
    <w:p>
      <w:r>
        <w:t>GE Cour de justice, 2022-02-09, FR</w:t>
      </w:r>
    </w:p>
    <w:p>
      <w:r>
        <w:rPr>
          <w:b/>
        </w:rPr>
        <w:t xml:space="preserve">Quelle: </w:t>
      </w:r>
      <w:r>
        <w:t>https://mcp.opencaselaw.ch/entscheid/ge_gerichte_P_4950_2019</w:t>
      </w:r>
    </w:p>
    <w:p>
      <w:r>
        <w:t>FR: GE_GERICHTE P/4950/2019 du 9 février 2022</w:t>
      </w:r>
    </w:p>
    <w:p>
      <w:r>
        <w:t>IT: GE_GERICHTE P/4950/2019 del 9 febbraio 2022</w:t>
      </w:r>
    </w:p>
    <w:p>
      <w:pPr>
        <w:pStyle w:val="Heading2"/>
      </w:pPr>
      <w:r>
        <w:t>Regeste</w:t>
      </w:r>
    </w:p>
    <w:p>
      <w:r>
        <w:t>SOUSTRACTION DE DONNÉES(ART. 143 CP);FRAIS DE LA PROCÉDURE;OUVERTURE DE LA PROCÉDURE;ILLICÉITÉ;INDEMNITÉ(EN GÉNÉRAL) | CP.143.al1; CPP.426.al2; CPP.429.al1.leta; CPP.430.al1.leta</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de la constitution fédérale de la Confédération suisse (Cst.). et 6 par. 2 de la convention de sauvegarde des droits de l’homme et des libertés fondamentales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de la loi fédérale, complétant le code civil suisse (CO, Code des obligations). Le fait reproché doit constituer une violation claire de la norme de comportement. Il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p. 204 s.). Aux termes de l'art. 429 al. 1 let. a CPP, si le prévenu est acquitté totalement ou en partie ou s'il bénéficie d'une ordonnance de classement, il a droit à une indemnité pour les dépenses occasionnées par l'exercice raisonnable de ses droits de procédure. Selon l'art. 430 al. 1 let. a CPP, l'autorité pénale peut réduire ou refuser l'indemnité ou la réparation du tort moral prévues par l'art. 429 CPP, lorsque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(arrêts du Tribunal fédéral 6B_1180/2019 du 17 février 2020 consid. 2 ; 6B_7/2020 du 17 février 2020 consid. 5.1). Dans cette mesure, la décision sur les frais préjuge de la question de l'indemnisation (ATF 145 IV 268 consid. 1.2 p. 272). En d'autres termes, si le prévenu supporte les frais en application de l'art. 426 al. 1 ou 2 CPP, une indemnité est en règle générale exclue, alors que le prévenu y a, en principe, droit si l'Etat supporte les frais de la procédure pénale (ATF 144 IV 207 consid. 1.8.2 p. 211 ; 137 IV 352 consid. 2.4.2 p. 357). 2.1.2. La faute exigée doit s'apprécier selon des critères objectifs : il ne suffit pas que l'attitude du prévenu contrevienne à l'éthique (ATF 116 la 162 consid. 2d p. 171 = SJ 1991 27). L'acte répréhensible n'a pas à être commis intentionnellement. La négligence suffit, sans qu'il y ait besoin qu'elle soit grossière (ATF 109 Ia 160 consid. 4a p. 163 s. ; arrêts du Tribunal fédéral 6B_156/2017 du 22 décembre 2017 consid. 5 ; 6B_184/2013 du 1 er octobre 2013 consid. 7.1). Ainsi, le fait d'adopter un comportement déloyal, au sens de la loi fédérale contre la concurrence déloyale (LCD), constitue un comportement illicite. Il en va de même du fait de violer diverses normes juridiques civiles contenues dans le Code des obligations en matière de sociétés anonymes et provoquer l'ouverture d'une instruction pour abus de confiance, gestion déloyale et faux dans les titres, comme de celui de provoquer l'ouverture de la procédure pénale par la violation des obligations résultant du droit du travail (Y. JEANNERET / A. KUHN / C. PERRIER DEPEURSINGE [éds], Commentaire romand : Code de procédure pénale , 2 ème éd., 2019, n. 2 ad art. 426). Selon l'art. 321a al. 4 CO, le travailleur ne doit pas utiliser ni révéler pendant la durée du contrat des faits destinés à rester confidentiels, tels que les secrets de fabrication et d’affaires dont il a pris connaissance au service de l’employeur. L’obligation de discrétion concerne tous les faits dont le travailleur a pris connaissance durant les rapports de travail et elle s’étend non seulement aux faits que l’employeur a expressément qualifiés de secrets, mais aussi à ceux dont il apparaît, selon les circonstances, que l’employeur veut en interdire la divulgation (TPF, SK.2012.15, consid. 6.4 = JdT 2013 IV 293).</w:t>
      </w:r>
    </w:p>
    <w:p>
      <w:r>
        <w:rPr>
          <w:b/>
        </w:rPr>
        <w:t>E. 2.2</w:t>
      </w:r>
    </w:p>
    <w:p>
      <w:r>
        <w:t>Les frais de la procédure de recours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6B_472/2018 du 22 août 2018 consid. 1.2 ; 6B_620/2016 du 17 mai 2017 consid. 2.1.2). Lorsqu'une partie obtient gain de cause sur un point, succombe sur un autre, le montant des frais à mettre à sa charge dépend de manière déterminante du travail nécessaire à trancher chaque point (arrêts du Tribunal fédéral 6B_636/2017 du 1 er septembre 2017 consid. 4.1 ; 6B_634/2016 du 30 août 2016 consid. 3.2). Dans ce cadre, la répartition des frais relève de l'appréciation du juge du fond (arrêt du Tribunal fédéral 6B_620/2016 du 17 mai 2017 consid. 2.1.2). À teneur de l'art. 436 al. 1 CPP, les prétentions en indemnités et en réparation du tort moral dans la procédure de recours (" Rechtsmittelverfahren ", i.e. appel et recours) sont régies par les art. 429 à 434 CPP. 2.3.1. En l'espèce, il convient de déterminer si, compte tenu des éléments du dossier, un comportement illicite et fautif de l'appelant a été clairement établi et si celui-ci est en relation avec la poursuite pénale subséquente, comme requis par la jurisprudence. Le prévenu a, dans un premier temps, admis avoir remis aux journalistes l'intégralité des images apparaissant dans le reportage de Q______. Ce n'est que lorsqu'il a saisi qu'elles concernaient en réalité deux personnes distinctes et donc deux surveillances différentes, qu'il a contesté avoir transmis les images de la dame avec le chien. Ces dénégations ne jouissent d'aucune crédibilité, dans la mesure où s'il n'avait pas été à l'origine de ces images, l'appelant s'en serait rendu compte immédiatement en visionnant le reportage, ou du moins aurait émis des doutes à leur sujet, et non pas plusieurs mois après l'ouverture de la procédure, ce d'autant plus que sa rencontre avec les journalistes était récente. A cela s'ajoute qu'il semble impossible que les journalistes aient obtenu les images litigieuses par un autre biais que celui de l'appelant, dès lors que les deux autres individus ayant eu accès à ces images n'avaient aucun intérêt à leur diffusion et que, comme l'a relevé le premier juge, l'on comprend mal pourquoi les journalistes se seraient introduits indûment dans l'ordinateur de l'appelant, de surcroît protégé par un mot de passe, alors qu'il semblait disposé à leur remettre ses vidéos. Au vu de ce qui précède, la CPAR tient pour suffisamment établi que l'appelant a transmis aux journalistes non seulement les images de la dame à vélo, mais également celles de la dame avec le chien diffusées dans le reportage de Q______, à tout le moins par négligence, laquelle suffit sur le plan civil (ATF 109 Ia 160 consid. 4a). Il n'est pas contesté que ces images ont été filmées alors que l'appelant était encore employé de l'intimée, de sorte que, dans le cadre de ses rapports de travail, il était tenu par le devoir de discrétion découlant de l'art. 321a al. 4 CO et devait restituer à cette dernière toutes les images ainsi obtenues, obligations qu'il n'a, de toute évidence, pas respectées. Malgré l'acquittement prononcé en raison d'un élément constitutif tenu pour non réalisé, ce comportement illicite et fautif a provoqué le soupçon de la commission d’une infraction et, partant l’ouverture et la conduite de la procédure pénale, dès lors que le prévenu devait s’attendre au dépôt d’une plainte pénale à son encontre par son ancien employeur, contre lequel il était par ailleurs en litige, aussitôt celui-ci informé de la violation de ses obligations contractuelles. Dans la mesure où l'appelant n'était plus employé de l'intimée au moment de la diffusion du reportage et où celle-ci modifiait souvent les codes d'accès, la manière dont les images litigieuses avaient été obtenues ne pouvait être clarifiée que par le biais d'une procédure pénale. Il se justifie dès lors de laisser à la charge de l'appelant les frais de la procédure préliminaire. Celle-ci ayant permis de réunir les éléments qui auraient permis son acquittement, ce que le conseil de l'appelant n'a d'ailleurs pas manqué de soulever dans son courrier du 3 juillet 2020, et donc de clôturer la cause par une décision de classement, seuls les frais déployés jusqu'au renvoi en jugement seront supportés par le prévenu. Bien que le classement partiel de la procédure ait été ordonné par le MP pour ces mêmes faits s'agissant des chefs de soustraction de données pour la transmission des images de la dame à vélo, de violation du secret commercial, de service de renseignements économiques et de concurrence déloyale, l'appelant supportera la totalité des frais de la procédure préliminaire, soit CHF 1'999.30, dès lors que cela n'a eu aucune incidence sur la répartition des frais durant cette phase de la procédure, le contexte de l'affaire étant le même et aucun acte spécifique n'ayant été administré en lien avec ces faits reprochés, étant précisé que ces frais se composent principalement de la facture du serrurier, dont l'intervention a été rendue nécessaire compte tenu de l'attitude du prévenu. 2.3.2. Dans la mesure où, comme développé ci-dessus (voir supra ch. 2.2.1), il se justifiait d'ouvrir et de diligenter une instruction sur la base des faits qui lui étaient reprochés, mais pas de le renvoyer en jugement, les éléments réunis aux termes de l'instruction préliminaire permettant d'y renoncer, l'appelant ne sera indemnisé pour ses frais de défense que s'agissant de la période postérieure au renvoi en jugement. Ainsi, l'appelant sera indemnisé pour ses frais de défense afférents à la procédure de première instance par CHF 5'722.70 (11h20 x CHF 450.- + TVA + CHF 230.-). 2.4.1. En appel, il obtient partiellement gain de cause, de sorte qu'il supportera 1/3 des frais de la procédure, lesquels comprennent un émolument de CHF 1'500.- (art. 14 du règlement fixant le tarif des frais en matière pénale [RTFMP]). Le solde est laissé à la charge de l'Etat. 2.4.2. Pour les mêmes motifs (voir supra ch. 2.4.1), l'appelant se verra indemnisé à hauteur de 2/3 de l'activité déployée par son conseil. L'indemnité pour la procédure d'appel sera ainsi fixée à CHF 1'938.60 (2/3 de 6h x CHF 450.- + TVA).</w:t>
      </w:r>
    </w:p>
    <w:p>
      <w:r>
        <w:rPr>
          <w:b/>
        </w:rPr>
        <w:t>E. 2.5</w:t>
      </w:r>
    </w:p>
    <w:p>
      <w:r>
        <w:t>Conformément à l'art. 442 al. 4 CPP, les créances découlant de ce qui précède seront compensées, à due concurrence, avec celles de l'Etat en paiement des frais de la procédure mis à la charge du prévenu.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