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P/494/2014 vom 18. September 2015</w:t>
      </w:r>
    </w:p>
    <w:p>
      <w:r>
        <w:t>GE Cour de justice, 2015-09-18, FR</w:t>
      </w:r>
    </w:p>
    <w:p>
      <w:r>
        <w:rPr>
          <w:b/>
        </w:rPr>
        <w:t xml:space="preserve">Quelle: </w:t>
      </w:r>
      <w:r>
        <w:t>https://mcp.opencaselaw.ch/entscheid/ge_gerichte_P_494_2014</w:t>
      </w:r>
    </w:p>
    <w:p>
      <w:r>
        <w:t>FR: GE_GERICHTE P/494/2014 du 18 septembre 2015</w:t>
      </w:r>
    </w:p>
    <w:p>
      <w:r>
        <w:t>IT: GE_GERICHTE P/494/2014 del 18 settembre 2015</w:t>
      </w:r>
    </w:p>
    <w:p>
      <w:pPr>
        <w:pStyle w:val="Heading2"/>
      </w:pPr>
      <w:r>
        <w:t>Regeste</w:t>
      </w:r>
    </w:p>
    <w:p>
      <w:r>
        <w:t>APPEL(CPP); MOTIVATION DE LA DEMANDE; TORT MORAL | CPP.398.5; CPP.406.3; CO.47</w:t>
      </w:r>
    </w:p>
    <w:p>
      <w:pPr>
        <w:pStyle w:val="Heading2"/>
      </w:pPr>
      <w:r>
        <w:t>Erwägungen</w:t>
      </w:r>
    </w:p>
    <w:p>
      <w:r>
        <w:rPr>
          <w:b/>
        </w:rPr>
        <w:t>E. 1.1</w:t>
      </w:r>
    </w:p>
    <w:p>
      <w:r>
        <w:t>L'annonce d'appel et la déclaration d'appel ont été déposées en temps utiles (art. 399 al. 1 et 3 CPP) et motivées selon la forme prescrite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intimées en première instance dépassant CHF 10'000.- (art. 308 al. 2 et 91 al. 1 du Code de procédure civile suisse du 19 décembre 2008 [CPC ; RS 272]), valeur litigieuse nécessaire à la recevabilité de l'appel civil autonome, conférant à la juridiction d'appel un libre pouvoir d'examen.</w:t>
      </w:r>
    </w:p>
    <w:p>
      <w:r>
        <w:rPr>
          <w:b/>
        </w:rPr>
        <w:t>E. 1.3</w:t>
      </w:r>
    </w:p>
    <w:p>
      <w:r>
        <w:t>Lorsque l'appel est traité en procédure écrite et conformément à l'art. 406 al. 3 CPP, la partie qui a déclaré l'appel dépose un mémoire d'appel motivé dans le délai qui lui est imparti par la direction de la procédure. L'exigence de motivation requiert que soient indiqués précisément les points de la décision attaqués, les motifs qui commandent une autre décision (let. b) et les moyens de preuve invoqués (art. 385 al. 1 CPP). En l'occurrence, l'appelant a déposé dans le délai imparti dans l'ordonnance du 19 février 2015 son mémoire d'appel, par lequel l'on comprend qu'il critique l'écart entre les souffrances effectivement subies par les parties plaignantes et les montants alloués au titre de tort moral par le premier juge. Bien que succincte, la motivation à l'appui d'une modification du jugement de première instance sur ce point est dès lors suffisante pour entrer en matière sur l'appel, même s'il s'agit d'un cas limite.</w:t>
      </w:r>
    </w:p>
    <w:p>
      <w:r>
        <w:rPr>
          <w:b/>
        </w:rPr>
        <w:t>E. 2.1</w:t>
      </w:r>
    </w:p>
    <w:p>
      <w:r>
        <w:t>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2.2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La souffrance consécutive à la peur de mourir n'est généralement prise en compte comme facteur d'augmentation que dans des cas extrêmes, à côté d'autres facteurs comme par exemple lorsque la victime est retenue prisonnière des heures durant, maltraitée et menacée de mort (arrêt du Tribunal fédéral 1A.235/2000 consid. 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w:t>
      </w:r>
    </w:p>
    <w:p>
      <w:r>
        <w:rPr>
          <w:b/>
        </w:rPr>
        <w:t>E. 2.3</w:t>
      </w:r>
    </w:p>
    <w:p>
      <w:r>
        <w:t>En l'espèce, l'appelant ne conteste pas, à juste titre vu la réalisation des conditions de l'art. 47 CO, que son comportement donne droit à des indemnités pour tort moral. Seul demeure litigieux leur montant. A teneur des informations dont dispose la CPAR, les parties plaignantes ont chacune vécu un stress post-traumatique, dont elles subissaient encore les effets au moins jusqu'au moment du prononcé du jugement de première instance, une prise en charge médicamenteuse restant à cette date nécessaire. Elles ont été empêchées de travailler aux taux et aux horaires qu'elles souhaitaient, l'incapacité totale d'C______ jusqu'à la fin de l'année 2013 étant au surplus attestée par certificat médical. Ces incapacités, compréhensibles vu le contexte de l'attaque, survenue pendant l'exercice de leur activité professionnelle et alors que celle-ci impose une confrontation permanente à des inconnus, attestent du degré de leurs souffrances et des répercussions sur leurs personnalités, douleurs non compensées, quoiqu'en dise l'appelant, par l'octroi d'indemnités pour les pertes de gain subies, celles-ci ne réparant pas le même préjudice. La partie plaignante B______ n'a pas subi de lésion physique, contrairement à la partie plaignante C______, dont la blessure a occasionné une faiblesse musculaire. Cette différence justifie l'octroi d'une indemnité pour tort moral plus élevée à la deuxième, ce qui n'est pas contesté en tant que tel. Compte tenu de l'ampleur des souffrances psychiques endurées par les parties plaignantes, documentées, constatées au cours de la procédure et illustrées par les séquelles durables sur leur capacité à travailler, les montants alloués par le premier juge à titre de réparation morale ne paraissent pas excessifs. Le tribunal de première instance a tenu compte de l'ensemble des paramètres susmentionnés pour arrêter les indemnités contestées, qui restent équitables au vu des circonstances d'espèce, étant encore relevé que la souffrance morale ne se prête pas à des calculs arithmétiques. Vu ce qui précède, le jugement entrepris sera confirmé et l'appel rejeté.</w:t>
      </w:r>
    </w:p>
    <w:p>
      <w:r>
        <w:rPr>
          <w:b/>
        </w:rPr>
        <w:t>E. 3</w:t>
      </w:r>
    </w:p>
    <w:p>
      <w:r>
        <w:t>L'appelant, qui succombe, supportera les frais de la procédure d'appel, qui comprennent un émolument de jugement de CHF 1'500.-. (428 CPP et art. 14 al. 1 let. e du Règlement fixant le tarif des frais en matière pénale [RTFMP ;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29 septembre 2014.</w:t>
      </w:r>
    </w:p>
    <w:p>
      <w:r>
        <w:rPr>
          <w:b/>
        </w:rPr>
        <w:t>E. 4.2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4.3.1. En l'espèce, l'état de frais présenté par M e X______ sera admis à raison de 2h45 d'activité à un taux horaire de CHF 200.-, soit une déduction de 4h30 (heures d'entretien, temps consacré à la lecture d'un arrêt et celui indiqué pour l'étude du dossier ou encore pour la rédaction de l'appel et les recherches juridiques), celles-ci étant jugées non justifiées ou exagérées vu la date de saisine de la CPAR, les caractères circonscrit et succinct de l'appel et du mémoire motivé, ainsi que la majoration forfaitaire de 10% pour l'activité diverse. L'indemnisation sera dès lors accordée à hauteur de CHF 605.- (indemnité forfaitaire de 10% [CHF 55.-] vu l'activité totale déployée au cours de la procédure comprise, sans TVA, M e X______ n'y étant en tout état pas soumise, étant au surplus relevé la question de la couverture des frais de TVA dans l'hypothèse d'un domicile à l'étranger du client, non encore définitivement résolue par la jurisprudence). 4.3.2. En l'absence de production de sa note d'honoraires et compte tenu de ses écritures, il convient d'octroyer au conseil juridique gratuit d'C______ et B______ une indemnité équivalente, TVA en sus [CHF 48.40].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